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CE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9A6DEC" w:rsidRPr="0094564A" w:rsidRDefault="00031EC7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>№ 51</w:t>
                  </w:r>
                </w:p>
                <w:p w:rsidR="009A6DEC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031EC7">
                    <w:rPr>
                      <w:b/>
                      <w:bCs/>
                      <w:sz w:val="36"/>
                      <w:szCs w:val="36"/>
                    </w:rPr>
                    <w:t>17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9A6DEC" w:rsidRDefault="00031EC7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октября</w:t>
                  </w:r>
                </w:p>
                <w:p w:rsidR="009A6DEC" w:rsidRPr="0094564A" w:rsidRDefault="009A6DE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201</w:t>
                  </w:r>
                  <w:r>
                    <w:rPr>
                      <w:b/>
                      <w:bCs/>
                      <w:sz w:val="36"/>
                      <w:szCs w:val="36"/>
                    </w:rPr>
                    <w:t>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9A6DEC" w:rsidRPr="0094564A" w:rsidRDefault="009A6DEC"/>
              </w:txbxContent>
            </v:textbox>
          </v:shape>
        </w:pict>
      </w:r>
      <w:r w:rsidR="004D0CE5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9A6DEC" w:rsidRPr="0094564A" w:rsidRDefault="009A6DEC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D0CE5" w:rsidP="001B1E8B">
      <w:pPr>
        <w:jc w:val="center"/>
        <w:rPr>
          <w:b/>
        </w:rPr>
      </w:pPr>
      <w:r w:rsidRPr="004D0CE5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D0CE5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D0CE5" w:rsidP="007F25FF">
      <w:pPr>
        <w:rPr>
          <w:b/>
          <w:i/>
          <w:sz w:val="22"/>
          <w:szCs w:val="22"/>
        </w:rPr>
      </w:pPr>
      <w:r w:rsidRPr="004D0CE5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31EC7" w:rsidRDefault="00031EC7" w:rsidP="00CC3F24">
      <w:pPr>
        <w:jc w:val="center"/>
        <w:rPr>
          <w:b/>
        </w:rPr>
      </w:pPr>
      <w:r>
        <w:rPr>
          <w:b/>
        </w:rPr>
        <w:t>Официальная информация</w:t>
      </w:r>
    </w:p>
    <w:p w:rsidR="00011173" w:rsidRPr="00712EEE" w:rsidRDefault="00031EC7" w:rsidP="00CC3F24">
      <w:pPr>
        <w:jc w:val="center"/>
        <w:rPr>
          <w:b/>
        </w:rPr>
      </w:pPr>
      <w:r>
        <w:rPr>
          <w:b/>
        </w:rPr>
        <w:t>администрации</w:t>
      </w:r>
      <w:r w:rsidR="00011173" w:rsidRPr="00712EEE">
        <w:rPr>
          <w:b/>
        </w:rPr>
        <w:t xml:space="preserve"> Грибановского муниципального района</w:t>
      </w:r>
    </w:p>
    <w:p w:rsidR="00011173" w:rsidRPr="00712EEE" w:rsidRDefault="004D0CE5" w:rsidP="007F25FF">
      <w:pPr>
        <w:rPr>
          <w:b/>
          <w:i/>
        </w:rPr>
      </w:pPr>
      <w:r w:rsidRPr="004D0CE5">
        <w:rPr>
          <w:noProof/>
        </w:rPr>
        <w:pict>
          <v:line id="_x0000_s1032" style="position:absolute;z-index:251661312;visibility:visible;mso-position-horizontal-relative:margin;mso-position-vertical-relative:margin" from="34.7pt,227.15pt" to="518.45pt,227.15pt" strokecolor="windowText">
            <w10:wrap type="square" anchorx="margin" anchory="margin"/>
          </v:line>
        </w:pict>
      </w:r>
    </w:p>
    <w:p w:rsidR="00664A5C" w:rsidRPr="008F6B57" w:rsidRDefault="00664A5C" w:rsidP="00664A5C"/>
    <w:p w:rsidR="00A163A5" w:rsidRPr="00A163A5" w:rsidRDefault="00A163A5" w:rsidP="00A163A5">
      <w:pPr>
        <w:jc w:val="center"/>
        <w:rPr>
          <w:b/>
        </w:rPr>
      </w:pPr>
      <w:r w:rsidRPr="00A163A5">
        <w:rPr>
          <w:b/>
        </w:rPr>
        <w:t>АДМИНИСТРАЦИЯ ГРИБАНОВСКОГО</w:t>
      </w:r>
    </w:p>
    <w:p w:rsidR="00A163A5" w:rsidRPr="00A163A5" w:rsidRDefault="00A163A5" w:rsidP="00A163A5">
      <w:pPr>
        <w:jc w:val="center"/>
        <w:rPr>
          <w:b/>
        </w:rPr>
      </w:pPr>
      <w:r w:rsidRPr="00A163A5">
        <w:rPr>
          <w:b/>
        </w:rPr>
        <w:t xml:space="preserve"> МУНИЦИПАЛЬНОГО РАЙОНА</w:t>
      </w:r>
    </w:p>
    <w:p w:rsidR="00A163A5" w:rsidRPr="00A163A5" w:rsidRDefault="00A163A5" w:rsidP="00A16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A163A5" w:rsidRPr="00A163A5" w:rsidRDefault="00A163A5" w:rsidP="00A163A5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A163A5" w:rsidRPr="00A163A5" w:rsidRDefault="00A163A5" w:rsidP="00A163A5">
      <w:pPr>
        <w:jc w:val="center"/>
        <w:rPr>
          <w:b/>
          <w:bCs/>
        </w:rPr>
      </w:pPr>
      <w:r w:rsidRPr="00A163A5">
        <w:rPr>
          <w:b/>
          <w:bCs/>
        </w:rPr>
        <w:t>ПОСТАНОВЛЕНИЕ</w:t>
      </w:r>
    </w:p>
    <w:p w:rsidR="00A163A5" w:rsidRPr="00A163A5" w:rsidRDefault="00A163A5" w:rsidP="00A163A5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163A5" w:rsidRPr="00A163A5" w:rsidRDefault="00A163A5" w:rsidP="00A163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от  «12» октября 2018 г.   № 479        </w:t>
      </w:r>
    </w:p>
    <w:p w:rsidR="00A163A5" w:rsidRPr="00A163A5" w:rsidRDefault="00A163A5" w:rsidP="00A163A5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>п.г.т. Грибановский</w:t>
      </w:r>
    </w:p>
    <w:p w:rsidR="00A163A5" w:rsidRPr="00A163A5" w:rsidRDefault="00A163A5" w:rsidP="00A163A5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503"/>
      </w:tblGrid>
      <w:tr w:rsidR="00A163A5" w:rsidRPr="00A163A5" w:rsidTr="00A163A5">
        <w:trPr>
          <w:trHeight w:val="569"/>
        </w:trPr>
        <w:tc>
          <w:tcPr>
            <w:tcW w:w="4503" w:type="dxa"/>
            <w:hideMark/>
          </w:tcPr>
          <w:p w:rsidR="00A163A5" w:rsidRPr="00A163A5" w:rsidRDefault="00A163A5" w:rsidP="00A163A5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состав административной комиссии    Грибановского муниципального  района Воронежской области,  утвержденный постановлением администрации Грибановского муниципального района Воронежской области от 27.05.2016 г. №  189</w:t>
            </w:r>
          </w:p>
        </w:tc>
      </w:tr>
      <w:tr w:rsidR="00A163A5" w:rsidRPr="00A163A5" w:rsidTr="00A163A5">
        <w:trPr>
          <w:trHeight w:val="80"/>
        </w:trPr>
        <w:tc>
          <w:tcPr>
            <w:tcW w:w="4503" w:type="dxa"/>
          </w:tcPr>
          <w:p w:rsidR="00A163A5" w:rsidRPr="00A163A5" w:rsidRDefault="00A163A5" w:rsidP="00A163A5">
            <w:pPr>
              <w:rPr>
                <w:rFonts w:eastAsiaTheme="minorEastAsia"/>
              </w:rPr>
            </w:pPr>
          </w:p>
        </w:tc>
      </w:tr>
    </w:tbl>
    <w:p w:rsidR="00A163A5" w:rsidRPr="00A163A5" w:rsidRDefault="00A163A5" w:rsidP="00A163A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           Руководствуясь законом Воронежской области от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комиссий", и законом Воронежской области от 31.12.2003 № 74-ОЗ «Об административных правонарушениях на территории Воронежской области»,  администрация Грибановского муниципального района Воронежской области  </w:t>
      </w:r>
      <w:r w:rsidRPr="00A163A5">
        <w:rPr>
          <w:rFonts w:ascii="Times New Roman" w:hAnsi="Times New Roman" w:cs="Times New Roman"/>
          <w:b/>
          <w:sz w:val="24"/>
          <w:szCs w:val="24"/>
        </w:rPr>
        <w:t>п о с т а н о в л я е т</w:t>
      </w:r>
      <w:r w:rsidRPr="00A163A5">
        <w:rPr>
          <w:rFonts w:ascii="Times New Roman" w:hAnsi="Times New Roman" w:cs="Times New Roman"/>
          <w:sz w:val="24"/>
          <w:szCs w:val="24"/>
        </w:rPr>
        <w:t>:</w:t>
      </w: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       1.  Внести в состав административной комиссии Грибановского муниципального района Воронежской области, утвержденный постановлением администрации Грибановского муниципального района Воронежской области от 27.05.2016 г.  №  189, изменения, изложив его в новой редакции согласно приложению к настоящему постановлению. </w:t>
      </w: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       2. Опубликовать настоящее постановление в Грибановском муниципальном вестнике и на официальном сайте администрации Грибановского муниципального района.</w:t>
      </w: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постановления  оставляю за собой.</w:t>
      </w: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63A5">
        <w:rPr>
          <w:rFonts w:ascii="Times New Roman" w:hAnsi="Times New Roman" w:cs="Times New Roman"/>
          <w:b/>
          <w:sz w:val="24"/>
          <w:szCs w:val="24"/>
        </w:rPr>
        <w:t>Глава администрации муниципального района                                                       А.И. Рыженин</w:t>
      </w:r>
    </w:p>
    <w:p w:rsidR="00A163A5" w:rsidRPr="00A163A5" w:rsidRDefault="00A163A5" w:rsidP="00A163A5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462"/>
        <w:gridCol w:w="817"/>
        <w:gridCol w:w="6292"/>
      </w:tblGrid>
      <w:tr w:rsidR="00A163A5" w:rsidRPr="00A163A5" w:rsidTr="003D2CFE">
        <w:tc>
          <w:tcPr>
            <w:tcW w:w="2462" w:type="dxa"/>
            <w:hideMark/>
          </w:tcPr>
          <w:p w:rsidR="00A163A5" w:rsidRPr="00A163A5" w:rsidRDefault="00A163A5" w:rsidP="00A163A5"/>
        </w:tc>
        <w:tc>
          <w:tcPr>
            <w:tcW w:w="817" w:type="dxa"/>
          </w:tcPr>
          <w:p w:rsidR="00A163A5" w:rsidRPr="00A163A5" w:rsidRDefault="00A163A5" w:rsidP="00A163A5"/>
        </w:tc>
        <w:tc>
          <w:tcPr>
            <w:tcW w:w="6292" w:type="dxa"/>
          </w:tcPr>
          <w:p w:rsidR="00A163A5" w:rsidRPr="00A163A5" w:rsidRDefault="00A163A5" w:rsidP="00A163A5">
            <w:pPr>
              <w:tabs>
                <w:tab w:val="left" w:pos="5010"/>
              </w:tabs>
            </w:pPr>
            <w:r w:rsidRPr="00A163A5">
              <w:tab/>
            </w:r>
          </w:p>
        </w:tc>
      </w:tr>
      <w:tr w:rsidR="00A163A5" w:rsidRPr="00A163A5" w:rsidTr="003D2CFE">
        <w:tc>
          <w:tcPr>
            <w:tcW w:w="2462" w:type="dxa"/>
            <w:hideMark/>
          </w:tcPr>
          <w:p w:rsidR="00A163A5" w:rsidRPr="00A163A5" w:rsidRDefault="00A163A5" w:rsidP="00A163A5"/>
        </w:tc>
        <w:tc>
          <w:tcPr>
            <w:tcW w:w="817" w:type="dxa"/>
          </w:tcPr>
          <w:p w:rsidR="00A163A5" w:rsidRPr="00A163A5" w:rsidRDefault="00A163A5" w:rsidP="00A163A5"/>
        </w:tc>
        <w:tc>
          <w:tcPr>
            <w:tcW w:w="6292" w:type="dxa"/>
          </w:tcPr>
          <w:p w:rsidR="00A163A5" w:rsidRPr="00A163A5" w:rsidRDefault="00A163A5" w:rsidP="00A163A5"/>
        </w:tc>
      </w:tr>
    </w:tbl>
    <w:p w:rsidR="00A163A5" w:rsidRPr="00A163A5" w:rsidRDefault="00A163A5" w:rsidP="00A163A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A163A5" w:rsidRPr="00A163A5" w:rsidRDefault="00A163A5" w:rsidP="00A163A5">
      <w:pPr>
        <w:pStyle w:val="Con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A163A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163A5" w:rsidRPr="00A163A5" w:rsidRDefault="00A163A5" w:rsidP="00A163A5">
      <w:pPr>
        <w:jc w:val="right"/>
      </w:pPr>
      <w:r w:rsidRPr="00A163A5">
        <w:t>Грибановского муниципального района</w:t>
      </w:r>
    </w:p>
    <w:p w:rsidR="00A163A5" w:rsidRPr="00A163A5" w:rsidRDefault="00A163A5" w:rsidP="00A163A5">
      <w:pPr>
        <w:jc w:val="right"/>
      </w:pPr>
      <w:r w:rsidRPr="00A163A5">
        <w:t>Воронежской области</w:t>
      </w:r>
    </w:p>
    <w:p w:rsidR="00A163A5" w:rsidRPr="00A163A5" w:rsidRDefault="00A163A5" w:rsidP="00A163A5">
      <w:pPr>
        <w:jc w:val="right"/>
      </w:pPr>
      <w:r w:rsidRPr="00A163A5">
        <w:t xml:space="preserve">                                                                           от </w:t>
      </w:r>
      <w:r>
        <w:t>12.10.</w:t>
      </w:r>
      <w:r w:rsidRPr="00A163A5">
        <w:t xml:space="preserve">2018 г. № </w:t>
      </w:r>
      <w:r>
        <w:t>479</w:t>
      </w:r>
    </w:p>
    <w:p w:rsidR="00A163A5" w:rsidRPr="00A163A5" w:rsidRDefault="00A163A5" w:rsidP="00A163A5">
      <w:pPr>
        <w:jc w:val="center"/>
      </w:pPr>
      <w:r w:rsidRPr="00A163A5">
        <w:t xml:space="preserve">Состав </w:t>
      </w:r>
    </w:p>
    <w:p w:rsidR="00A163A5" w:rsidRPr="00A163A5" w:rsidRDefault="00A163A5" w:rsidP="00A163A5">
      <w:pPr>
        <w:jc w:val="center"/>
      </w:pPr>
      <w:r w:rsidRPr="00A163A5">
        <w:t>административной комиссии  Грибановского муниципального района Воронежской области</w:t>
      </w:r>
    </w:p>
    <w:tbl>
      <w:tblPr>
        <w:tblW w:w="0" w:type="auto"/>
        <w:tblLook w:val="01E0"/>
      </w:tblPr>
      <w:tblGrid>
        <w:gridCol w:w="4759"/>
        <w:gridCol w:w="15"/>
        <w:gridCol w:w="4797"/>
      </w:tblGrid>
      <w:tr w:rsidR="00A163A5" w:rsidRPr="00A163A5" w:rsidTr="003D2CFE">
        <w:tc>
          <w:tcPr>
            <w:tcW w:w="4774" w:type="dxa"/>
            <w:gridSpan w:val="2"/>
          </w:tcPr>
          <w:p w:rsid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Шаповалов Александр Николаевич</w:t>
            </w:r>
          </w:p>
          <w:p w:rsidR="00B24567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аппарата администрации Грибановского муниципального района Воронежской области – председатель </w:t>
            </w: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</w:tr>
      <w:tr w:rsidR="00A163A5" w:rsidRPr="00A163A5" w:rsidTr="003D2CFE">
        <w:tc>
          <w:tcPr>
            <w:tcW w:w="4774" w:type="dxa"/>
            <w:gridSpan w:val="2"/>
          </w:tcPr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Савченко Александр Витальевич</w:t>
            </w: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Попова Марина Викторовна                          </w:t>
            </w:r>
          </w:p>
          <w:p w:rsid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B24567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начальник отдела градостроительной деятельности, главный архитектор администрации  Грибановского муниципального района Воронежской области – заместитель председателя комиссии</w:t>
            </w:r>
          </w:p>
          <w:p w:rsidR="00B24567" w:rsidRPr="00A163A5" w:rsidRDefault="00B24567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Грибановского муниципального района - ответственный секретарь административной  комиссии</w:t>
            </w:r>
          </w:p>
        </w:tc>
      </w:tr>
      <w:tr w:rsidR="00A163A5" w:rsidRPr="00A163A5" w:rsidTr="003D2CFE">
        <w:tc>
          <w:tcPr>
            <w:tcW w:w="4774" w:type="dxa"/>
            <w:gridSpan w:val="2"/>
          </w:tcPr>
          <w:p w:rsidR="00A163A5" w:rsidRPr="00A163A5" w:rsidRDefault="00A163A5" w:rsidP="00A163A5">
            <w:pPr>
              <w:pStyle w:val="ConsNormal"/>
              <w:tabs>
                <w:tab w:val="center" w:pos="-48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тепанищева Елена Викторовна</w:t>
            </w: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</w:t>
            </w: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Попова Татьяна Сергеевна                   </w:t>
            </w: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97" w:type="dxa"/>
          </w:tcPr>
          <w:p w:rsidR="00A163A5" w:rsidRDefault="00113B87" w:rsidP="00A163A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63A5" w:rsidRPr="00A163A5">
              <w:rPr>
                <w:rFonts w:ascii="Times New Roman" w:hAnsi="Times New Roman" w:cs="Times New Roman"/>
                <w:sz w:val="24"/>
                <w:szCs w:val="24"/>
              </w:rPr>
              <w:t>лава администрации                                                                     Верхнекарачанского сельского поселения Грибановского муниципального района                                                                    Воронежской области</w:t>
            </w:r>
          </w:p>
          <w:p w:rsidR="00B24567" w:rsidRPr="00A163A5" w:rsidRDefault="00B24567" w:rsidP="00A163A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администрации Грибановского муниципального района Воронежской области</w:t>
            </w:r>
          </w:p>
        </w:tc>
      </w:tr>
      <w:tr w:rsidR="00A163A5" w:rsidRPr="00A163A5" w:rsidTr="003D2CFE">
        <w:tc>
          <w:tcPr>
            <w:tcW w:w="4774" w:type="dxa"/>
            <w:gridSpan w:val="2"/>
          </w:tcPr>
          <w:p w:rsid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Прокопова Татьяна Петровна</w:t>
            </w: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 по развитию сельских территорий администрации Грибановского муниципального района Воронежской области</w:t>
            </w:r>
          </w:p>
        </w:tc>
      </w:tr>
      <w:tr w:rsidR="00A163A5" w:rsidRPr="00A163A5" w:rsidTr="003D2CFE">
        <w:tc>
          <w:tcPr>
            <w:tcW w:w="4774" w:type="dxa"/>
            <w:gridSpan w:val="2"/>
          </w:tcPr>
          <w:p w:rsid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Леньшин Валерий Владимирович</w:t>
            </w:r>
          </w:p>
          <w:p w:rsidR="00B24567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4567" w:rsidRPr="00A163A5" w:rsidRDefault="00B24567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163A5" w:rsidRPr="00A163A5" w:rsidRDefault="00A163A5" w:rsidP="00113B87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БУ ВО «Грибановская  райСББЖ» (по согласованию) </w:t>
            </w:r>
          </w:p>
        </w:tc>
      </w:tr>
      <w:tr w:rsidR="00A163A5" w:rsidRPr="00A163A5" w:rsidTr="00113B87">
        <w:trPr>
          <w:trHeight w:val="1186"/>
        </w:trPr>
        <w:tc>
          <w:tcPr>
            <w:tcW w:w="4774" w:type="dxa"/>
            <w:gridSpan w:val="2"/>
          </w:tcPr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Визнер Олег Викторович</w:t>
            </w: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7" w:type="dxa"/>
          </w:tcPr>
          <w:p w:rsidR="00A163A5" w:rsidRPr="00A163A5" w:rsidRDefault="00A163A5" w:rsidP="00113B87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И.о. заместителя главы   администрации Грибановского городского поселения Грибановского муниципального района Воронежской области (по согласованию)</w:t>
            </w:r>
          </w:p>
        </w:tc>
      </w:tr>
      <w:tr w:rsidR="00A163A5" w:rsidRPr="00A163A5" w:rsidTr="003D2CFE">
        <w:tc>
          <w:tcPr>
            <w:tcW w:w="4759" w:type="dxa"/>
          </w:tcPr>
          <w:p w:rsidR="00A163A5" w:rsidRPr="00A163A5" w:rsidRDefault="00A163A5" w:rsidP="00A163A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Кононов Михаил Игоревич                                         </w:t>
            </w:r>
          </w:p>
          <w:p w:rsidR="00A163A5" w:rsidRPr="00A163A5" w:rsidRDefault="00A163A5" w:rsidP="00A163A5">
            <w:pPr>
              <w:pStyle w:val="ConsNormal"/>
              <w:tabs>
                <w:tab w:val="left" w:pos="421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4812" w:type="dxa"/>
            <w:gridSpan w:val="2"/>
          </w:tcPr>
          <w:p w:rsidR="00A163A5" w:rsidRDefault="00A163A5" w:rsidP="00A163A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3A5">
              <w:rPr>
                <w:rFonts w:ascii="Times New Roman" w:hAnsi="Times New Roman" w:cs="Times New Roman"/>
                <w:sz w:val="24"/>
                <w:szCs w:val="24"/>
              </w:rPr>
              <w:t>инспектор по исполнению административного законодательства                                                                  (направление по исполнению                                                               административного законодательства)     ОМВД России по Грибановскому                                                                 району (по согласованию).</w:t>
            </w:r>
          </w:p>
          <w:p w:rsidR="00113B87" w:rsidRPr="00A163A5" w:rsidRDefault="00113B87" w:rsidP="00A163A5">
            <w:pPr>
              <w:pStyle w:val="ConsNormal"/>
              <w:tabs>
                <w:tab w:val="center" w:pos="-486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63A5" w:rsidRDefault="00A163A5" w:rsidP="00A163A5"/>
    <w:p w:rsidR="00D7650D" w:rsidRDefault="00D7650D" w:rsidP="00D7650D">
      <w:pPr>
        <w:jc w:val="center"/>
        <w:rPr>
          <w:b/>
        </w:rPr>
      </w:pPr>
    </w:p>
    <w:p w:rsidR="00D7650D" w:rsidRDefault="00D7650D" w:rsidP="00D7650D">
      <w:pPr>
        <w:jc w:val="center"/>
        <w:rPr>
          <w:b/>
        </w:rPr>
      </w:pPr>
    </w:p>
    <w:p w:rsidR="00D7650D" w:rsidRPr="00D7650D" w:rsidRDefault="00D7650D" w:rsidP="00D7650D">
      <w:pPr>
        <w:jc w:val="center"/>
        <w:rPr>
          <w:b/>
        </w:rPr>
      </w:pPr>
      <w:r w:rsidRPr="00D7650D">
        <w:rPr>
          <w:b/>
        </w:rPr>
        <w:t xml:space="preserve">АДМИНИСТРАТИВНАЯ КОМИССИЯ </w:t>
      </w:r>
    </w:p>
    <w:p w:rsidR="00D7650D" w:rsidRPr="00D7650D" w:rsidRDefault="00D7650D" w:rsidP="00D7650D">
      <w:pPr>
        <w:jc w:val="center"/>
        <w:rPr>
          <w:b/>
        </w:rPr>
      </w:pPr>
      <w:r w:rsidRPr="00D7650D">
        <w:rPr>
          <w:b/>
        </w:rPr>
        <w:t>ГРИБАНОВСКОГО МУНИЦИПАЛЬНОГО РАЙОНА</w:t>
      </w:r>
    </w:p>
    <w:p w:rsidR="00D7650D" w:rsidRPr="00D7650D" w:rsidRDefault="00D7650D" w:rsidP="00D765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D7650D" w:rsidRPr="00D7650D" w:rsidRDefault="00D7650D" w:rsidP="00D765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jc w:val="center"/>
        <w:rPr>
          <w:bCs/>
        </w:rPr>
      </w:pPr>
      <w:r w:rsidRPr="00D7650D">
        <w:rPr>
          <w:bCs/>
        </w:rPr>
        <w:t>Р Е Ш Е Н И Е</w:t>
      </w:r>
    </w:p>
    <w:p w:rsidR="00D7650D" w:rsidRPr="00D7650D" w:rsidRDefault="00D7650D" w:rsidP="00D7650D">
      <w:pPr>
        <w:pStyle w:val="a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7650D" w:rsidRPr="00D7650D" w:rsidRDefault="00D7650D" w:rsidP="00D765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16.10.2018    г.                                                                                   пгт Грибановский</w:t>
      </w:r>
    </w:p>
    <w:p w:rsidR="00D7650D" w:rsidRPr="00D7650D" w:rsidRDefault="00D7650D" w:rsidP="00D7650D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7650D">
        <w:rPr>
          <w:rFonts w:ascii="Times New Roman" w:hAnsi="Times New Roman" w:cs="Times New Roman"/>
          <w:sz w:val="24"/>
          <w:szCs w:val="24"/>
        </w:rPr>
        <w:t xml:space="preserve">     ул. Центральная, 4</w:t>
      </w:r>
    </w:p>
    <w:p w:rsidR="00D7650D" w:rsidRPr="00D7650D" w:rsidRDefault="00D7650D" w:rsidP="00D7650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169"/>
      </w:tblGrid>
      <w:tr w:rsidR="00D7650D" w:rsidRPr="00D7650D" w:rsidTr="003D2CFE">
        <w:trPr>
          <w:trHeight w:val="569"/>
        </w:trPr>
        <w:tc>
          <w:tcPr>
            <w:tcW w:w="4169" w:type="dxa"/>
            <w:hideMark/>
          </w:tcPr>
          <w:p w:rsidR="00D7650D" w:rsidRPr="00D7650D" w:rsidRDefault="00D7650D" w:rsidP="00D7650D">
            <w:pPr>
              <w:pStyle w:val="Con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50D">
              <w:rPr>
                <w:rFonts w:ascii="Times New Roman" w:hAnsi="Times New Roman" w:cs="Times New Roman"/>
                <w:b/>
                <w:sz w:val="24"/>
                <w:szCs w:val="24"/>
              </w:rPr>
              <w:t>О наделении членов административной комиссии  Грибановского муниципального района Воронежской области полномочиями по составлению протоколов об административных правонарушениях, отнесенных к подведомственности административной комиссии</w:t>
            </w:r>
          </w:p>
        </w:tc>
      </w:tr>
      <w:tr w:rsidR="00D7650D" w:rsidRPr="00D7650D" w:rsidTr="003D2CFE">
        <w:trPr>
          <w:trHeight w:val="569"/>
        </w:trPr>
        <w:tc>
          <w:tcPr>
            <w:tcW w:w="4169" w:type="dxa"/>
          </w:tcPr>
          <w:p w:rsidR="00D7650D" w:rsidRPr="00D7650D" w:rsidRDefault="00D7650D" w:rsidP="00D7650D">
            <w:pPr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   Административная комиссия в составе:</w:t>
      </w:r>
    </w:p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b/>
          <w:sz w:val="24"/>
          <w:szCs w:val="24"/>
        </w:rPr>
        <w:t>Заместителя председателя</w:t>
      </w:r>
      <w:r w:rsidR="00B24567">
        <w:rPr>
          <w:rFonts w:ascii="Times New Roman" w:hAnsi="Times New Roman" w:cs="Times New Roman"/>
          <w:sz w:val="24"/>
          <w:szCs w:val="24"/>
        </w:rPr>
        <w:t xml:space="preserve">: </w:t>
      </w:r>
      <w:r w:rsidRPr="00D7650D">
        <w:rPr>
          <w:rFonts w:ascii="Times New Roman" w:hAnsi="Times New Roman" w:cs="Times New Roman"/>
          <w:sz w:val="24"/>
          <w:szCs w:val="24"/>
        </w:rPr>
        <w:t>Савченко</w:t>
      </w:r>
      <w:r w:rsidR="00B24567">
        <w:rPr>
          <w:rFonts w:ascii="Times New Roman" w:hAnsi="Times New Roman" w:cs="Times New Roman"/>
          <w:sz w:val="24"/>
          <w:szCs w:val="24"/>
        </w:rPr>
        <w:t xml:space="preserve"> А.В.</w:t>
      </w:r>
      <w:r w:rsidRPr="00D7650D">
        <w:rPr>
          <w:rFonts w:ascii="Times New Roman" w:hAnsi="Times New Roman" w:cs="Times New Roman"/>
          <w:sz w:val="24"/>
          <w:szCs w:val="24"/>
        </w:rPr>
        <w:t xml:space="preserve"> -  начальника отдела градостроительной деятельности, главного архитектора администрации  Грибановского муниципального района Воронежской области;</w:t>
      </w:r>
    </w:p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b/>
          <w:sz w:val="24"/>
          <w:szCs w:val="24"/>
        </w:rPr>
        <w:t>Ответственного секретаря</w:t>
      </w:r>
      <w:r w:rsidRPr="00D7650D">
        <w:rPr>
          <w:rFonts w:ascii="Times New Roman" w:hAnsi="Times New Roman" w:cs="Times New Roman"/>
          <w:sz w:val="24"/>
          <w:szCs w:val="24"/>
        </w:rPr>
        <w:t xml:space="preserve"> </w:t>
      </w:r>
      <w:r w:rsidRPr="00D7650D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Pr="00D7650D">
        <w:rPr>
          <w:rFonts w:ascii="Times New Roman" w:hAnsi="Times New Roman" w:cs="Times New Roman"/>
          <w:sz w:val="24"/>
          <w:szCs w:val="24"/>
        </w:rPr>
        <w:t>– Поповой М.В.;</w:t>
      </w:r>
    </w:p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b/>
          <w:sz w:val="24"/>
          <w:szCs w:val="24"/>
        </w:rPr>
        <w:t>Членов комиссии</w:t>
      </w:r>
      <w:r w:rsidRPr="00D765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7650D" w:rsidRPr="00D7650D" w:rsidRDefault="00D7650D" w:rsidP="00D7650D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-   Леньшина В.В. - руководителя БУ ВО «Грибановская  райСББЖ»,</w:t>
      </w:r>
    </w:p>
    <w:p w:rsidR="00D7650D" w:rsidRPr="00D7650D" w:rsidRDefault="00D7650D" w:rsidP="00D7650D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-  Поповой Т.С.  - начальника юридического отдела администрации Грибановского муниципального района Воронежской области;</w:t>
      </w:r>
    </w:p>
    <w:p w:rsidR="00D7650D" w:rsidRPr="00D7650D" w:rsidRDefault="00D7650D" w:rsidP="00D7650D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- Визнер О.В. –  и.о. заместителя главы  администрации Грибановского городского поселения Грибановского муниципального района Воронежской области;</w:t>
      </w:r>
    </w:p>
    <w:p w:rsidR="00D7650D" w:rsidRPr="00D7650D" w:rsidRDefault="00B24567" w:rsidP="00D7650D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D7650D" w:rsidRPr="00D7650D">
        <w:rPr>
          <w:rFonts w:ascii="Times New Roman" w:hAnsi="Times New Roman" w:cs="Times New Roman"/>
          <w:sz w:val="24"/>
          <w:szCs w:val="24"/>
        </w:rPr>
        <w:t>Прокоповой</w:t>
      </w:r>
      <w:r>
        <w:rPr>
          <w:rFonts w:ascii="Times New Roman" w:hAnsi="Times New Roman" w:cs="Times New Roman"/>
          <w:sz w:val="24"/>
          <w:szCs w:val="24"/>
        </w:rPr>
        <w:t xml:space="preserve"> Т.П.</w:t>
      </w:r>
      <w:r w:rsidR="00D7650D" w:rsidRPr="00D7650D">
        <w:rPr>
          <w:rFonts w:ascii="Times New Roman" w:hAnsi="Times New Roman" w:cs="Times New Roman"/>
          <w:sz w:val="24"/>
          <w:szCs w:val="24"/>
        </w:rPr>
        <w:t xml:space="preserve"> – главного  специалиста отдела по развитию сельских территорий администрации Грибановского муниципального района Воронежской области,</w:t>
      </w:r>
    </w:p>
    <w:p w:rsidR="00D7650D" w:rsidRPr="00D7650D" w:rsidRDefault="00D7650D" w:rsidP="00D7650D">
      <w:pPr>
        <w:pStyle w:val="ConsNormal"/>
        <w:tabs>
          <w:tab w:val="left" w:pos="421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руководствуясь законом Воронежской области от  29.12.2009 № 190-ОЗ "О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деятельности административных комиссий" и на основании п. 2.1 ч. 2 ст. 8 Закона Воронежской области  от 31.12.2003 г. № 74-ОЗ «Об административных правонарушениях на территории Воронежской области», административная комиссия Грибановского муниципального района Воронежской области</w:t>
      </w:r>
    </w:p>
    <w:p w:rsidR="00D7650D" w:rsidRPr="00D7650D" w:rsidRDefault="00D7650D" w:rsidP="00D7650D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>Р Е Ш И Л А:</w:t>
      </w: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    1.  Наделить полномочиями по составлению протоколов об административных правонарушениях, отнесенных к подведомственности административной комиссии</w:t>
      </w:r>
      <w:r w:rsidR="00B24567">
        <w:rPr>
          <w:rFonts w:ascii="Times New Roman" w:hAnsi="Times New Roman" w:cs="Times New Roman"/>
          <w:sz w:val="24"/>
          <w:szCs w:val="24"/>
        </w:rPr>
        <w:t>,</w:t>
      </w:r>
      <w:r w:rsidRPr="00D7650D">
        <w:rPr>
          <w:rFonts w:ascii="Times New Roman" w:hAnsi="Times New Roman" w:cs="Times New Roman"/>
          <w:sz w:val="24"/>
          <w:szCs w:val="24"/>
        </w:rPr>
        <w:t xml:space="preserve">  Визнер Олега Викторовича  – члена административной комиссии,  и.о. заместителя главы администрации Грибановского городского поселения Грибановского муниципального района Воронежской области;</w:t>
      </w: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lastRenderedPageBreak/>
        <w:t xml:space="preserve">       2. Опубликовать настоящее решение в Грибановском муниципальном вестнике и на официальном сайте администрации Грибановского муниципального района.</w:t>
      </w: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7650D">
        <w:rPr>
          <w:rFonts w:ascii="Times New Roman" w:hAnsi="Times New Roman" w:cs="Times New Roman"/>
          <w:sz w:val="24"/>
          <w:szCs w:val="24"/>
        </w:rPr>
        <w:t xml:space="preserve">       3.   Контроль  исполнения настоящего решения  оставляю за собой.</w:t>
      </w: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7650D" w:rsidRP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0D">
        <w:rPr>
          <w:rFonts w:ascii="Times New Roman" w:hAnsi="Times New Roman" w:cs="Times New Roman"/>
          <w:b/>
          <w:sz w:val="24"/>
          <w:szCs w:val="24"/>
        </w:rPr>
        <w:t>Заместитель председателя административной комиссии</w:t>
      </w: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50D">
        <w:rPr>
          <w:rFonts w:ascii="Times New Roman" w:hAnsi="Times New Roman" w:cs="Times New Roman"/>
          <w:b/>
          <w:sz w:val="24"/>
          <w:szCs w:val="24"/>
        </w:rPr>
        <w:t xml:space="preserve">Грибановского муниципального района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Pr="00D7650D">
        <w:rPr>
          <w:rFonts w:ascii="Times New Roman" w:hAnsi="Times New Roman" w:cs="Times New Roman"/>
          <w:b/>
          <w:sz w:val="24"/>
          <w:szCs w:val="24"/>
        </w:rPr>
        <w:t xml:space="preserve">     А.В. Савченко</w:t>
      </w: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1F7" w:rsidRPr="00EA0270" w:rsidRDefault="003A71F7" w:rsidP="003A71F7">
      <w:pPr>
        <w:tabs>
          <w:tab w:val="left" w:pos="5925"/>
        </w:tabs>
        <w:adjustRightInd w:val="0"/>
        <w:ind w:firstLine="720"/>
        <w:rPr>
          <w:sz w:val="28"/>
          <w:szCs w:val="28"/>
        </w:rPr>
      </w:pPr>
      <w:r w:rsidRPr="00EA0270">
        <w:rPr>
          <w:sz w:val="28"/>
          <w:szCs w:val="28"/>
        </w:rPr>
        <w:t xml:space="preserve">                                                                                  </w:t>
      </w:r>
    </w:p>
    <w:p w:rsidR="003A71F7" w:rsidRPr="00950B10" w:rsidRDefault="003A71F7" w:rsidP="003A71F7">
      <w:pPr>
        <w:rPr>
          <w:color w:val="000000"/>
        </w:rPr>
      </w:pPr>
      <w:bookmarkStart w:id="0" w:name="_Toc414879697"/>
    </w:p>
    <w:p w:rsidR="003A71F7" w:rsidRDefault="003A71F7" w:rsidP="003A71F7">
      <w:pPr>
        <w:pStyle w:val="aff6"/>
        <w:spacing w:before="0"/>
        <w:jc w:val="right"/>
        <w:rPr>
          <w:rFonts w:ascii="Times New Roman" w:hAnsi="Times New Roman"/>
          <w:bCs w:val="0"/>
          <w:color w:val="000000"/>
          <w:sz w:val="24"/>
          <w:szCs w:val="24"/>
        </w:rPr>
      </w:pPr>
      <w:r>
        <w:rPr>
          <w:rFonts w:ascii="Times New Roman" w:hAnsi="Times New Roman"/>
          <w:bCs w:val="0"/>
          <w:color w:val="000000"/>
          <w:sz w:val="24"/>
          <w:szCs w:val="24"/>
        </w:rPr>
        <w:t>ПРОЕКТ</w:t>
      </w:r>
    </w:p>
    <w:p w:rsidR="003A71F7" w:rsidRDefault="003A71F7" w:rsidP="003A71F7">
      <w:pPr>
        <w:pStyle w:val="aff6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3A71F7" w:rsidRPr="00EB1D2F" w:rsidRDefault="003A71F7" w:rsidP="003A71F7">
      <w:pPr>
        <w:pStyle w:val="aff6"/>
        <w:spacing w:before="0"/>
        <w:jc w:val="center"/>
        <w:rPr>
          <w:rFonts w:ascii="Times New Roman" w:hAnsi="Times New Roman"/>
          <w:bCs w:val="0"/>
          <w:color w:val="000000"/>
          <w:sz w:val="24"/>
          <w:szCs w:val="24"/>
        </w:rPr>
      </w:pPr>
      <w:r w:rsidRPr="00950B10">
        <w:rPr>
          <w:rFonts w:ascii="Times New Roman" w:hAnsi="Times New Roman"/>
          <w:bCs w:val="0"/>
          <w:color w:val="000000"/>
          <w:sz w:val="24"/>
          <w:szCs w:val="24"/>
        </w:rPr>
        <w:t>МЕСТНЫЕ  НОРМАТИВЫ</w:t>
      </w:r>
      <w:r w:rsidRPr="00950B10">
        <w:rPr>
          <w:rFonts w:ascii="Times New Roman" w:hAnsi="Times New Roman"/>
          <w:bCs w:val="0"/>
          <w:color w:val="000000"/>
          <w:sz w:val="24"/>
          <w:szCs w:val="24"/>
        </w:rPr>
        <w:br/>
        <w:t>градостроительного проектирования Грибановского муниципального района Воронежской области</w:t>
      </w:r>
    </w:p>
    <w:p w:rsidR="003A71F7" w:rsidRPr="00950B10" w:rsidRDefault="003A71F7" w:rsidP="00240B71">
      <w:pPr>
        <w:pStyle w:val="aff9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Область применения</w:t>
      </w:r>
      <w:bookmarkEnd w:id="0"/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Местные нормативы градостроительного проектирования Грибановского муниципального района Воронежской области (далее – МНГП) подготовлены в соответствии с требованиями </w:t>
      </w:r>
      <w:r w:rsidRPr="00E66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статьи 8, 29.4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Градостроительного кодекса Российской Федерации, Положения о местных нормативах градостроительного проектирования Грибановского муниципального района Воронежской области, утвержденным решением Совета народных депутатов Грибановского муниципального района от 05.03.2015 № 232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 местными нормативами градостроительного проектирования понимается совокупность расчетных показателей минимально допустимого уровня обеспеченности объектами местного значения населения Грибановского муниципального района и расчетных показателей максимально допустимого уровня территориальной доступности таких объектов для населения  Грибановского муниципального района.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МНГП, с учетом положений федерального закона от 05.05.2014 № 131-ФЗ «О внесении изменений в Градостроительный кодекс РФ», направлены на обеспечение:</w:t>
      </w:r>
    </w:p>
    <w:p w:rsidR="003A71F7" w:rsidRPr="00950B10" w:rsidRDefault="003A71F7" w:rsidP="00240B71">
      <w:pPr>
        <w:pStyle w:val="aff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качества жизни населения Грибановского муниципального района и создание градостроительными средствами условий для обеспечения социальных гарантий, установленных законодательством Российской Федерации и законодательством Воронежской области, гражданам, включая инвалидов и другие маломобильные группы населения;</w:t>
      </w:r>
    </w:p>
    <w:p w:rsidR="003A71F7" w:rsidRPr="00950B10" w:rsidRDefault="003A71F7" w:rsidP="00240B71">
      <w:pPr>
        <w:pStyle w:val="aff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повышения эффективности использования территорий городского и сельских  поселений, Грибановского муниципального района  на основе рационального зонирования;</w:t>
      </w:r>
    </w:p>
    <w:p w:rsidR="003A71F7" w:rsidRPr="00950B10" w:rsidRDefault="003A71F7" w:rsidP="00240B71">
      <w:pPr>
        <w:pStyle w:val="aff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соответствия средовых характеристик населенных пунктов Грибановского муниципального района современным стандартам качества организации жилых, производственных и рекреационных территорий;</w:t>
      </w:r>
    </w:p>
    <w:p w:rsidR="003A71F7" w:rsidRPr="00950B10" w:rsidRDefault="003A71F7" w:rsidP="00240B71">
      <w:pPr>
        <w:pStyle w:val="aff9"/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ограничения негативного воздействия хозяйственной и иной деятельности на окружающую среду в интересах настоящего и будущего поколений.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Настоящие МНГП обязательны для всех субъектов градостроительной деятельности, осуществляющих свою деятельность на территории Грибановского муниципального района, независимо от их организационно-правовой формы.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МНГП включают в себя расчетные показатели минимально допустимого уровня обеспеченности объектами местного значения населения Грибановского муниципального района, в том числе следующими объектами местного значения: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капитального строительства, в том числе линейные объекты, электро-, тепло-, газо- и водоснабжения населения, водоотведения, связи;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автомобильные дороги местного значения;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физической культуры и массового спорта;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 образования, в том числе объекты капитального строительства муниципальных образовательных учреждений;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объекты культуры;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объекты, предназначенные для утилизации и переработки бытовых и промышленных отходов;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объекты, включая земельные участки, предназначенные для организации ритуальных услуг и содержания мест захоронения;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места массового отдыха населения;</w:t>
      </w:r>
    </w:p>
    <w:p w:rsidR="003A71F7" w:rsidRPr="00950B10" w:rsidRDefault="003A71F7" w:rsidP="00240B71">
      <w:pPr>
        <w:pStyle w:val="aff9"/>
        <w:numPr>
          <w:ilvl w:val="1"/>
          <w:numId w:val="3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иные объекты, которые необходимы для осуществления полномочий органов местного самоуправления Грибановского  муниципального района.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Объектами градостроительного нормирования также являются: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территория муниципального образования, территории населенных пунктов и отдельных зон в их пределах, в том числе зоны и участки жилой застройки, зоны и участки общественной застройки, производственные зоны, рекреационные зоны.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объектов регионального и местного значения на территории муниципального образования определяется документами территориального планирования, правилами землепользования и застройки и проектами планировки.</w:t>
      </w:r>
    </w:p>
    <w:p w:rsidR="003A71F7" w:rsidRPr="00950B10" w:rsidRDefault="003A71F7" w:rsidP="00240B71">
      <w:pPr>
        <w:pStyle w:val="aff9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вопросам, не рассматриваемым в МНГП, следует руководствовать </w:t>
      </w:r>
      <w:r w:rsidRPr="00950B1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законами, нормативными и правовыми актами Российской Федерации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Воронежской области. В случае отмены или изменении документов, на которые дается ссылка в МНГП, следует руководствоваться документами, вводимыми взамен отмененных.</w:t>
      </w:r>
    </w:p>
    <w:p w:rsidR="003A71F7" w:rsidRPr="00950B10" w:rsidRDefault="003A71F7" w:rsidP="00240B71">
      <w:pPr>
        <w:pStyle w:val="aff9"/>
        <w:numPr>
          <w:ilvl w:val="0"/>
          <w:numId w:val="1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" w:name="_Toc414879698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Концепция развития и планировочная организация территории  Грибановского муниципального района</w:t>
      </w:r>
      <w:bookmarkEnd w:id="1"/>
    </w:p>
    <w:p w:rsidR="003A71F7" w:rsidRPr="00950B10" w:rsidRDefault="003A71F7" w:rsidP="003A71F7">
      <w:pPr>
        <w:ind w:firstLine="567"/>
        <w:jc w:val="both"/>
        <w:outlineLvl w:val="1"/>
        <w:rPr>
          <w:b/>
          <w:bCs/>
          <w:color w:val="000000"/>
        </w:rPr>
      </w:pPr>
      <w:bookmarkStart w:id="2" w:name="_Toc414879699"/>
      <w:r w:rsidRPr="00950B10">
        <w:rPr>
          <w:b/>
          <w:bCs/>
          <w:color w:val="000000"/>
        </w:rPr>
        <w:t>2.1. Общие положения</w:t>
      </w:r>
      <w:bookmarkEnd w:id="2"/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В административно-территориальном отношении Грибановский муниципальный район разделен на 16 сельских поселений  и 1 городское поселение, в состав которых входят 27сел, 14 поселков, 1 деревня и 1 поселок городского типа – пгт. Грибановский, являющийся административным центром Грибановского муниципального района.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При определении перспектив развития и планировки Грибановского муниципального района необходимо учитывать: </w:t>
      </w:r>
    </w:p>
    <w:p w:rsidR="003A71F7" w:rsidRPr="00950B10" w:rsidRDefault="003A71F7" w:rsidP="00240B71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численность населения на расчетный срок; </w:t>
      </w:r>
    </w:p>
    <w:p w:rsidR="003A71F7" w:rsidRPr="00950B10" w:rsidRDefault="003A71F7" w:rsidP="00240B71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местоположение городского  и сельских поселений в системе расселения муниципального района; </w:t>
      </w:r>
    </w:p>
    <w:p w:rsidR="003A71F7" w:rsidRPr="00950B10" w:rsidRDefault="003A71F7" w:rsidP="00240B71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роль городского  и сельских поселений в системе формируемых центров обслуживания населения (районного и местного уровня); </w:t>
      </w:r>
    </w:p>
    <w:p w:rsidR="003A71F7" w:rsidRPr="00950B10" w:rsidRDefault="003A71F7" w:rsidP="00240B71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950B10">
        <w:rPr>
          <w:bCs/>
          <w:color w:val="000000"/>
        </w:rPr>
        <w:t>историко-культурное значение городского  и сельских поселений;</w:t>
      </w:r>
    </w:p>
    <w:p w:rsidR="003A71F7" w:rsidRPr="00950B10" w:rsidRDefault="003A71F7" w:rsidP="00240B71">
      <w:pPr>
        <w:numPr>
          <w:ilvl w:val="0"/>
          <w:numId w:val="6"/>
        </w:numPr>
        <w:ind w:left="0" w:firstLine="709"/>
        <w:jc w:val="both"/>
        <w:rPr>
          <w:bCs/>
          <w:color w:val="000000"/>
        </w:rPr>
      </w:pPr>
      <w:r w:rsidRPr="00950B10">
        <w:rPr>
          <w:bCs/>
          <w:color w:val="000000"/>
        </w:rPr>
        <w:t>прогноз социально-экономического развития городского  и сельских поселений; санитарно-эпидемиологическую и экологическую обстановку на планируемых к развитию территориях.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По численности населения поселения Грибановского муниципального района подразделяются на группы, представленные в таблице 1:</w:t>
      </w:r>
    </w:p>
    <w:p w:rsidR="003A71F7" w:rsidRPr="00950B10" w:rsidRDefault="003A71F7" w:rsidP="003A71F7">
      <w:pPr>
        <w:jc w:val="right"/>
        <w:rPr>
          <w:bCs/>
          <w:color w:val="000000"/>
        </w:rPr>
      </w:pPr>
      <w:r w:rsidRPr="00950B10">
        <w:rPr>
          <w:bCs/>
          <w:color w:val="000000"/>
        </w:rPr>
        <w:t>Таблица 1</w:t>
      </w:r>
    </w:p>
    <w:tbl>
      <w:tblPr>
        <w:tblW w:w="9520" w:type="dxa"/>
        <w:tblInd w:w="88" w:type="dxa"/>
        <w:tblLook w:val="0000"/>
      </w:tblPr>
      <w:tblGrid>
        <w:gridCol w:w="7250"/>
        <w:gridCol w:w="2270"/>
      </w:tblGrid>
      <w:tr w:rsidR="003A71F7" w:rsidRPr="00950B10" w:rsidTr="0094269B">
        <w:trPr>
          <w:trHeight w:val="420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bCs/>
                <w:color w:val="000000"/>
              </w:rPr>
            </w:pPr>
            <w:r w:rsidRPr="00950B10">
              <w:rPr>
                <w:bCs/>
                <w:color w:val="000000"/>
              </w:rPr>
              <w:t>Группа поселений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bCs/>
                <w:color w:val="000000"/>
              </w:rPr>
            </w:pPr>
            <w:r w:rsidRPr="00950B10">
              <w:rPr>
                <w:bCs/>
                <w:color w:val="000000"/>
              </w:rPr>
              <w:t xml:space="preserve">Численность населения (2014г.) </w:t>
            </w:r>
          </w:p>
        </w:tc>
      </w:tr>
      <w:tr w:rsidR="003A71F7" w:rsidRPr="00950B10" w:rsidTr="0094269B">
        <w:trPr>
          <w:trHeight w:val="246"/>
        </w:trPr>
        <w:tc>
          <w:tcPr>
            <w:tcW w:w="7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bCs/>
                <w:color w:val="000000"/>
              </w:rPr>
            </w:pPr>
            <w:r w:rsidRPr="00950B10">
              <w:rPr>
                <w:bCs/>
                <w:color w:val="000000"/>
              </w:rPr>
              <w:t>Грибановское городское поселение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bCs/>
                <w:color w:val="000000"/>
              </w:rPr>
            </w:pPr>
            <w:r w:rsidRPr="00950B10">
              <w:rPr>
                <w:bCs/>
                <w:color w:val="000000"/>
              </w:rPr>
              <w:t>15672</w:t>
            </w:r>
          </w:p>
        </w:tc>
      </w:tr>
      <w:tr w:rsidR="003A71F7" w:rsidRPr="00950B10" w:rsidTr="0094269B">
        <w:trPr>
          <w:trHeight w:val="238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bCs/>
                <w:color w:val="000000"/>
              </w:rPr>
            </w:pPr>
            <w:r w:rsidRPr="00950B10">
              <w:rPr>
                <w:bCs/>
                <w:color w:val="000000"/>
              </w:rPr>
              <w:t>Группа №1.Поселения с численностью населения  более 890 человек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Верхнекарачанское сельское поселение                                     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2898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Листопадовское сельское поселение                                                           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2618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Малоалабухское сельское поселение                                           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1197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Кирсановское сельское поселение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896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Нижнекарачанское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1855</w:t>
            </w:r>
          </w:p>
        </w:tc>
      </w:tr>
      <w:tr w:rsidR="003A71F7" w:rsidRPr="00950B10" w:rsidTr="0094269B">
        <w:trPr>
          <w:trHeight w:val="173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bCs/>
                <w:color w:val="000000"/>
              </w:rPr>
              <w:t>Группа №2.Поселения с численностью населения от 600 до 890 человек.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Большеалабухское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736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lastRenderedPageBreak/>
              <w:t>Малогрибановское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885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Кутковское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630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Новогольеланское сельское поселение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883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Новогольское сельское поселение       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744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Новомакаровское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605</w:t>
            </w:r>
          </w:p>
        </w:tc>
      </w:tr>
      <w:tr w:rsidR="003A71F7" w:rsidRPr="00950B10" w:rsidTr="0094269B">
        <w:trPr>
          <w:trHeight w:val="225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bCs/>
                <w:color w:val="000000"/>
              </w:rPr>
              <w:t>Группа №3.Поселения с численностью населения до 600 человек.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Алексеевское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478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Васильевское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536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Калиновское сельское поселение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266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 xml:space="preserve">Краснореченское сельское поселение                    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317</w:t>
            </w:r>
          </w:p>
        </w:tc>
      </w:tr>
      <w:tr w:rsidR="003A71F7" w:rsidRPr="00950B10" w:rsidTr="0094269B">
        <w:trPr>
          <w:trHeight w:val="315"/>
        </w:trPr>
        <w:tc>
          <w:tcPr>
            <w:tcW w:w="7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Посевкинское сельское поселение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447</w:t>
            </w:r>
          </w:p>
        </w:tc>
      </w:tr>
    </w:tbl>
    <w:p w:rsidR="003A71F7" w:rsidRPr="00950B10" w:rsidRDefault="003A71F7" w:rsidP="003A71F7">
      <w:pPr>
        <w:jc w:val="both"/>
        <w:rPr>
          <w:bCs/>
          <w:color w:val="000000"/>
        </w:rPr>
      </w:pP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Грибановский муниципальный район развивается в зоне влияния  исторически сложившегося  промышленно-административного, торгово-транспортного и культурного центра – пгт. Грибановский, который является организующим ядром муниципальной системы расселения. </w:t>
      </w:r>
    </w:p>
    <w:p w:rsidR="003A71F7" w:rsidRPr="00321F22" w:rsidRDefault="003A71F7" w:rsidP="00240B71">
      <w:pPr>
        <w:pStyle w:val="aff9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3" w:name="_Toc414879705"/>
      <w:r w:rsidRPr="00321F22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Жилые зоны</w:t>
      </w:r>
      <w:bookmarkEnd w:id="3"/>
    </w:p>
    <w:p w:rsidR="003A71F7" w:rsidRPr="00950B10" w:rsidRDefault="003A71F7" w:rsidP="00240B71">
      <w:pPr>
        <w:numPr>
          <w:ilvl w:val="1"/>
          <w:numId w:val="5"/>
        </w:numPr>
        <w:ind w:left="0" w:firstLine="567"/>
        <w:jc w:val="both"/>
        <w:outlineLvl w:val="1"/>
        <w:rPr>
          <w:b/>
          <w:bCs/>
          <w:color w:val="000000"/>
        </w:rPr>
      </w:pPr>
      <w:bookmarkStart w:id="4" w:name="_Toc414879706"/>
      <w:r w:rsidRPr="00950B10">
        <w:rPr>
          <w:b/>
          <w:bCs/>
          <w:color w:val="000000"/>
        </w:rPr>
        <w:t>Общие положения</w:t>
      </w:r>
      <w:bookmarkEnd w:id="4"/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Жилые зоны предусматриваются в целях создания для населения удобной, здоровой и безопасной среды проживания, отвечающей его социальным, культурным, бытовым и другим потребностям. Жилые зоны предназначены для размещения жилых домов разных типов (многоквартирные, многоэтажные, средней и малой этажности; блокированные; усадебные с приквартирными и приусадебными участками).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Для размещения жилой зоны следует выбирать участки, наиболее благоприятные в санитарно-гигиеническом и инженерно-геологическом отношениях, требующие минимального объема инженерной подготовки, планировочных работ и мероприятий по сохранению естественного состояния природной среды.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составе жилых зон Грибановского городского поселения,  выделяются зоны:</w:t>
      </w:r>
    </w:p>
    <w:p w:rsidR="003A71F7" w:rsidRPr="00950B10" w:rsidRDefault="003A71F7" w:rsidP="00240B71">
      <w:pPr>
        <w:numPr>
          <w:ilvl w:val="0"/>
          <w:numId w:val="7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малоэтажной усадебной (коттеджной) застройки;</w:t>
      </w:r>
    </w:p>
    <w:p w:rsidR="003A71F7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зоны застройки индивидуальными и блокированными жилыми домами ;</w:t>
      </w:r>
    </w:p>
    <w:p w:rsidR="003A71F7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C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зона застройки малоэтажными многоквартирными жилыми домами (до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Pr="00AC26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этажей, включая мансардный);</w:t>
      </w:r>
    </w:p>
    <w:p w:rsidR="003A71F7" w:rsidRPr="00950B10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зона застройки среднеэтажными жилыми домами (до 5 этажей, включая мансардный);</w:t>
      </w:r>
    </w:p>
    <w:p w:rsidR="003A71F7" w:rsidRPr="00950B10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садоводства и дачного хозяйства в границах населенного пункта;</w:t>
      </w:r>
    </w:p>
    <w:p w:rsidR="003A71F7" w:rsidRPr="00950B10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зона планируемого размещения жилой застройки.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составе жилых зон сельских поселений и населенных пунктов, как правило, выделяется зона застройки индивидуальными жилыми домами.</w:t>
      </w:r>
    </w:p>
    <w:p w:rsidR="003A71F7" w:rsidRPr="00950B10" w:rsidRDefault="003A71F7" w:rsidP="003A71F7">
      <w:pPr>
        <w:pStyle w:val="aff9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жилых зонах допускается размещение отдельно стоящих, встроенных или пристроенных объектов общественно - делового, социального, коммунально-бытового назначения, культовых зданий; стоянок автомобильного транспорта; гаражей для индивидуального транспорта.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Допускается размещение (сохранение) в жилых зонах отдельных производственных объектов, если площадь их участка не более 0,5 га и если они не являются источниками негативного воздействия на среду обитания и здоровье человека (шум, вибрация, магнитные поля, радиационное воздействие, загрязнение почв, воздуха, воды и иные вредные воздействия).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Территории, предназначенные для ведения садоводства и дачного хозяйства, размещаемые в пределах населенного пункта, могут включаться в состав жилых зон. Обеспечение этих территорий объектами социальной, транспортной и инженерной инфраструктуры должно проектироваться с учетом возможности их использования для организации постоянного проживания населения.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lastRenderedPageBreak/>
        <w:t>В жилых зонах помимо жилой застройки могут также размещаться территории общего пользования, в том числе, озелененные; здания, сооружения и линейные объекты инженерного обеспечения (трансформаторные и распределительные подстанции, тепловые пункты, насосные, трубопроводы и пр.).</w:t>
      </w:r>
    </w:p>
    <w:p w:rsidR="003A71F7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8D4361">
        <w:rPr>
          <w:color w:val="000000"/>
        </w:rPr>
        <w:t xml:space="preserve">В жилых зданиях не допускается размещение объектов, оказывающих вредное воздействие на человека в соответствии с требованиями </w:t>
      </w:r>
      <w:r w:rsidRPr="00520DD9">
        <w:rPr>
          <w:color w:val="000000"/>
        </w:rPr>
        <w:t>СП 54.13330.2016</w:t>
      </w:r>
      <w:r>
        <w:rPr>
          <w:color w:val="000000"/>
        </w:rPr>
        <w:t xml:space="preserve">, </w:t>
      </w:r>
      <w:r w:rsidRPr="008D4361">
        <w:rPr>
          <w:color w:val="000000"/>
        </w:rPr>
        <w:t xml:space="preserve">СанПиН 2.1.2.2645-10. </w:t>
      </w:r>
    </w:p>
    <w:p w:rsidR="003A71F7" w:rsidRPr="008D4361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8D4361">
        <w:rPr>
          <w:color w:val="000000"/>
        </w:rPr>
        <w:t>Территория, отводимая для размещения жилой застройки, должна:</w:t>
      </w:r>
    </w:p>
    <w:p w:rsidR="003A71F7" w:rsidRPr="00950B10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находиться за пределами территории промышленно-коммунальных, санитарно-защитных зон предприятий, сооружений и иных объектов, первого пояса зоны санитарной охраны источников водоснабжения и водопроводов питьевого назначения;</w:t>
      </w:r>
    </w:p>
    <w:p w:rsidR="003A71F7" w:rsidRPr="00950B10" w:rsidRDefault="003A71F7" w:rsidP="00240B71">
      <w:pPr>
        <w:pStyle w:val="aff9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соответствовать требованиям, предъявляемым к состоянию окружающей среды, в том числе содержанию потенциально опасных для человека химических и биологических веществ, биологических и микробиологических организмов в почве, качеству атмосферного воздуха, уровню ионизирующего излучения, физических факторов (шум, инфразвук, вибрация, электромагнитные поля) в соответствии с санитарным законодательством Российской Федерации.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Границы, размеры участков при многоквартирных жилых домах, находящихся в общей </w:t>
      </w:r>
      <w:r w:rsidRPr="00950B10">
        <w:rPr>
          <w:bCs/>
          <w:color w:val="000000"/>
        </w:rPr>
        <w:t xml:space="preserve">совместной собственности членов товарищества собственников жилых </w:t>
      </w:r>
      <w:r w:rsidRPr="00950B10">
        <w:rPr>
          <w:color w:val="000000"/>
        </w:rPr>
        <w:t>помещений в</w:t>
      </w:r>
      <w:r w:rsidRPr="00950B10">
        <w:rPr>
          <w:bCs/>
          <w:color w:val="000000"/>
        </w:rPr>
        <w:t xml:space="preserve"> многоквартирных</w:t>
      </w:r>
      <w:r w:rsidRPr="00950B10">
        <w:rPr>
          <w:color w:val="000000"/>
        </w:rPr>
        <w:t xml:space="preserve"> домах, определяются документацией по планировке территории микрорайона (квартала).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Обязательному соблюдению подлежат приведенные в </w:t>
      </w:r>
      <w:r w:rsidRPr="00520DD9">
        <w:rPr>
          <w:color w:val="000000"/>
        </w:rPr>
        <w:t>таблице 2</w:t>
      </w:r>
      <w:r>
        <w:rPr>
          <w:color w:val="000000"/>
        </w:rPr>
        <w:t xml:space="preserve"> </w:t>
      </w:r>
      <w:r w:rsidRPr="00950B10">
        <w:rPr>
          <w:color w:val="000000"/>
        </w:rPr>
        <w:t xml:space="preserve">предельные показатели этажности для жилой и смешанной застройки  населенных пунктов Грибановского муниципального района. </w:t>
      </w:r>
    </w:p>
    <w:p w:rsidR="003A71F7" w:rsidRPr="00950B10" w:rsidRDefault="003A71F7" w:rsidP="003A71F7">
      <w:pPr>
        <w:jc w:val="right"/>
        <w:rPr>
          <w:color w:val="000000"/>
        </w:rPr>
      </w:pPr>
    </w:p>
    <w:p w:rsidR="003A71F7" w:rsidRPr="00950B10" w:rsidRDefault="003A71F7" w:rsidP="003A71F7">
      <w:pPr>
        <w:jc w:val="right"/>
        <w:rPr>
          <w:color w:val="000000"/>
        </w:rPr>
      </w:pPr>
      <w:r w:rsidRPr="00520DD9">
        <w:rPr>
          <w:color w:val="000000"/>
        </w:rPr>
        <w:t xml:space="preserve">Таблица </w:t>
      </w:r>
      <w:r>
        <w:rPr>
          <w:color w:val="00000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/>
      </w:tblPr>
      <w:tblGrid>
        <w:gridCol w:w="2552"/>
        <w:gridCol w:w="3637"/>
        <w:gridCol w:w="4061"/>
      </w:tblGrid>
      <w:tr w:rsidR="003A71F7" w:rsidRPr="00950B10" w:rsidTr="0094269B">
        <w:trPr>
          <w:trHeight w:val="243"/>
        </w:trPr>
        <w:tc>
          <w:tcPr>
            <w:tcW w:w="1245" w:type="pct"/>
            <w:vMerge w:val="restar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Население, тыс. человек</w:t>
            </w:r>
          </w:p>
        </w:tc>
        <w:tc>
          <w:tcPr>
            <w:tcW w:w="3755" w:type="pct"/>
            <w:gridSpan w:val="2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Устойчивая система расселения</w:t>
            </w:r>
          </w:p>
        </w:tc>
      </w:tr>
      <w:tr w:rsidR="003A71F7" w:rsidRPr="00950B10" w:rsidTr="0094269B">
        <w:trPr>
          <w:trHeight w:val="137"/>
        </w:trPr>
        <w:tc>
          <w:tcPr>
            <w:tcW w:w="1245" w:type="pct"/>
            <w:vMerge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</w:p>
        </w:tc>
        <w:tc>
          <w:tcPr>
            <w:tcW w:w="1774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поселки городского типа</w:t>
            </w:r>
          </w:p>
        </w:tc>
        <w:tc>
          <w:tcPr>
            <w:tcW w:w="1981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сельские населенные пункты</w:t>
            </w:r>
          </w:p>
        </w:tc>
      </w:tr>
      <w:tr w:rsidR="003A71F7" w:rsidRPr="00950B10" w:rsidTr="0094269B">
        <w:tc>
          <w:tcPr>
            <w:tcW w:w="1245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15-50</w:t>
            </w:r>
          </w:p>
        </w:tc>
        <w:tc>
          <w:tcPr>
            <w:tcW w:w="1774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  <w:tc>
          <w:tcPr>
            <w:tcW w:w="1981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</w:tr>
      <w:tr w:rsidR="003A71F7" w:rsidRPr="00950B10" w:rsidTr="0094269B">
        <w:tc>
          <w:tcPr>
            <w:tcW w:w="1245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5-15</w:t>
            </w:r>
          </w:p>
        </w:tc>
        <w:tc>
          <w:tcPr>
            <w:tcW w:w="1774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5*</w:t>
            </w:r>
          </w:p>
        </w:tc>
        <w:tc>
          <w:tcPr>
            <w:tcW w:w="1981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3*</w:t>
            </w:r>
          </w:p>
        </w:tc>
      </w:tr>
      <w:tr w:rsidR="003A71F7" w:rsidRPr="00950B10" w:rsidTr="0094269B">
        <w:tc>
          <w:tcPr>
            <w:tcW w:w="1245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1-5</w:t>
            </w:r>
          </w:p>
        </w:tc>
        <w:tc>
          <w:tcPr>
            <w:tcW w:w="1774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5</w:t>
            </w:r>
          </w:p>
        </w:tc>
        <w:tc>
          <w:tcPr>
            <w:tcW w:w="1981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3*</w:t>
            </w:r>
          </w:p>
        </w:tc>
      </w:tr>
      <w:tr w:rsidR="003A71F7" w:rsidRPr="00950B10" w:rsidTr="0094269B">
        <w:tc>
          <w:tcPr>
            <w:tcW w:w="1245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Менее 1</w:t>
            </w:r>
          </w:p>
        </w:tc>
        <w:tc>
          <w:tcPr>
            <w:tcW w:w="1774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  <w:tc>
          <w:tcPr>
            <w:tcW w:w="1981" w:type="pc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3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30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</w:t>
      </w:r>
      <w:r w:rsidRPr="00730D83">
        <w:rPr>
          <w:color w:val="000000"/>
        </w:rPr>
        <w:t xml:space="preserve"> - </w:t>
      </w:r>
      <w:r w:rsidRPr="00730D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возможность отклонения от указанной максимальной этажности в указанных ниже случаях.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Расчетные показатели жилищной обеспеченности содержат показатели по обеспечению населения общей площадью квартир и жилыми комнатами на 1 человека в зависимости от типов жилых домов по уровню комфорта и определяются в соответствии с таблицей</w:t>
      </w:r>
      <w:r>
        <w:rPr>
          <w:color w:val="000000"/>
        </w:rPr>
        <w:t xml:space="preserve"> 3.</w:t>
      </w:r>
    </w:p>
    <w:p w:rsidR="003A71F7" w:rsidRPr="00950B10" w:rsidRDefault="003A71F7" w:rsidP="003A71F7">
      <w:pPr>
        <w:ind w:left="567"/>
        <w:jc w:val="right"/>
        <w:rPr>
          <w:color w:val="000000"/>
        </w:rPr>
      </w:pPr>
      <w:r w:rsidRPr="00520DD9">
        <w:rPr>
          <w:color w:val="000000"/>
        </w:rPr>
        <w:t xml:space="preserve">Таблица </w:t>
      </w:r>
      <w:r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4"/>
      </w:tblGrid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Уровень комфортности жилья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Расчетный показатель обеспеченности общей площадью жилых помещений, м</w:t>
            </w:r>
            <w:r w:rsidRPr="00950B10">
              <w:rPr>
                <w:rFonts w:ascii="Times New Roman" w:eastAsia="Times New Roman" w:hAnsi="Times New Roman"/>
                <w:color w:val="000000"/>
                <w:szCs w:val="24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на 1 человека</w:t>
            </w:r>
          </w:p>
        </w:tc>
      </w:tr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Высококомфортное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 40 (без ограничений)</w:t>
            </w:r>
          </w:p>
        </w:tc>
      </w:tr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Комфортное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 30 до 40</w:t>
            </w:r>
          </w:p>
        </w:tc>
      </w:tr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Массовое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от 25 до 30</w:t>
            </w:r>
          </w:p>
        </w:tc>
      </w:tr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Социальное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20 </w:t>
            </w:r>
          </w:p>
        </w:tc>
      </w:tr>
      <w:tr w:rsidR="003A71F7" w:rsidRPr="00950B10" w:rsidTr="0094269B">
        <w:tc>
          <w:tcPr>
            <w:tcW w:w="407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Специализированное</w:t>
            </w:r>
          </w:p>
        </w:tc>
        <w:tc>
          <w:tcPr>
            <w:tcW w:w="549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>в соответствии со специальными нормами и правилами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3A71F7" w:rsidRDefault="003A71F7" w:rsidP="00240B71">
      <w:pPr>
        <w:pStyle w:val="2"/>
        <w:keepNext w:val="0"/>
        <w:numPr>
          <w:ilvl w:val="0"/>
          <w:numId w:val="5"/>
        </w:numPr>
        <w:spacing w:before="0" w:after="0"/>
        <w:ind w:firstLine="2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5" w:name="_Toc414879747"/>
      <w:r w:rsidRPr="003A71F7">
        <w:rPr>
          <w:rFonts w:ascii="Times New Roman" w:hAnsi="Times New Roman" w:cs="Times New Roman"/>
          <w:i w:val="0"/>
          <w:color w:val="000000"/>
          <w:sz w:val="24"/>
          <w:szCs w:val="24"/>
        </w:rPr>
        <w:t>Инженерная инфраструктура</w:t>
      </w:r>
      <w:bookmarkEnd w:id="5"/>
    </w:p>
    <w:p w:rsidR="003A71F7" w:rsidRPr="00950B10" w:rsidRDefault="003A71F7" w:rsidP="003A71F7">
      <w:pPr>
        <w:tabs>
          <w:tab w:val="left" w:pos="0"/>
        </w:tabs>
        <w:ind w:firstLine="426"/>
        <w:jc w:val="both"/>
        <w:rPr>
          <w:color w:val="000000"/>
        </w:rPr>
      </w:pPr>
      <w:r w:rsidRPr="00950B10">
        <w:rPr>
          <w:color w:val="000000"/>
        </w:rPr>
        <w:t>При проектировании сетей и сооружений водоснабжения, канализации, теплогазоснабжения следует руководствоваться соответственно СП 31.13330.2012, СП 30.13330.2012, СП 32.13330.2012, СП 50.13330.2012, СНиП 41-02-2003; СП 62.13330.2011, требованиями действующих санитарных норм и правил, а также требованиями настоящих норм.</w:t>
      </w:r>
    </w:p>
    <w:p w:rsidR="003A71F7" w:rsidRPr="00950B10" w:rsidRDefault="003A71F7" w:rsidP="003A71F7">
      <w:pPr>
        <w:tabs>
          <w:tab w:val="left" w:pos="0"/>
        </w:tabs>
        <w:ind w:firstLine="426"/>
        <w:jc w:val="both"/>
        <w:rPr>
          <w:color w:val="000000"/>
        </w:rPr>
      </w:pPr>
      <w:r w:rsidRPr="00950B10">
        <w:rPr>
          <w:color w:val="000000"/>
        </w:rPr>
        <w:t>При трассировке инженерных коммуникаций должны обосновываться рациональные, в том числе совмещенные, коридоры их прокладки.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lastRenderedPageBreak/>
        <w:t>Особое внимание должно быть уделено изучению возможного изменения уровня грунтовых вод и влияния этих изменений на эксплуатационную надежность сетей и сооружений.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6" w:name="_Toc414879748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Водоснабжение</w:t>
      </w:r>
      <w:bookmarkEnd w:id="6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Систему водоснабжения следует проектировать в соответствии с требованиями </w:t>
      </w:r>
      <w:r w:rsidRPr="00E66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 31.13330.2012.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Расход воды по отдельным объектам различной категории потребителей следует определять по действующим нормам (СП 30.13330.2012). Качество питьевой воды должно соответствовать требованиям СанПиН 2.1.4.1074-01 - для централизованного водоснабжения и СанПиН 2.1.4.1175-02 - для нецентрализованного водоснабжения, а также ГН 2.1.5.1315-03.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bCs/>
          <w:iCs/>
          <w:color w:val="000000"/>
        </w:rPr>
        <w:t>Примечание</w:t>
      </w:r>
      <w:r w:rsidRPr="00950B10">
        <w:rPr>
          <w:color w:val="000000"/>
        </w:rPr>
        <w:t>. Для улучшения органолептических показателей воды рекомендуется предусматривать установки, размещаемые на вводе в жилой дом, в отдельном помещении на первом этаже (в подвале) здания или индивидуальные установки, размещаемые непосредственно перед водоразборным устройством.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земельных участков для станций очистки воды в зависимости от их производительности (тыс. м.куб/сутки) следует принимать по проекту, но не более приведенных в </w:t>
      </w:r>
      <w:r w:rsidRPr="00E667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 42.13330.2011.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Подача питьевой воды из системы централизованного водопровода на технические нужды предприятий допускается только при обосновании технологическими нормами.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Организацию противопожарного водопровода (в том числе расходы воды на пожаротушение, решение повысительных насосных станций и насосных установок, обслуживающих кварталы городской застройки) следует принимать по СП 31.13330.2012.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водоснабжения малоэтажной застройки в сельских населенных пунктах допускается применять локальные сооружения для забора и подачи воды, отвечающие санитарно-гигиеническим требованиям.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трассировке водоводов вдоль автодорог, проходящих по болотам или в сильно обводненных грунтах, прокладку водоводов, как правило, следует предусматривать совместно с земляным полотном автодорог с размещением их в откосной ее части или специальной присыпке.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Пересечение водоводов с водными преградами: реками, озерами глубиной слоя воды свыше 2 м, соответствующей уровню воды 5% обеспеченности, следует предусматривать водными переходами (дюкерами).</w:t>
      </w:r>
    </w:p>
    <w:p w:rsidR="003A71F7" w:rsidRPr="00950B10" w:rsidRDefault="003A71F7" w:rsidP="00240B71">
      <w:pPr>
        <w:numPr>
          <w:ilvl w:val="3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Удельное среднесуточное (за год) водопотребление на хозяйственно-питьевые нужды </w:t>
      </w:r>
    </w:p>
    <w:p w:rsidR="003A71F7" w:rsidRPr="00950B10" w:rsidRDefault="003A71F7" w:rsidP="003A71F7">
      <w:pPr>
        <w:ind w:firstLine="426"/>
        <w:jc w:val="right"/>
        <w:rPr>
          <w:color w:val="000000"/>
        </w:rPr>
      </w:pPr>
      <w:r w:rsidRPr="00520DD9">
        <w:rPr>
          <w:color w:val="000000"/>
        </w:rPr>
        <w:t xml:space="preserve">Таблица </w:t>
      </w:r>
      <w:r>
        <w:rPr>
          <w:color w:val="000000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A71F7" w:rsidRPr="00950B10" w:rsidTr="0094269B">
        <w:tc>
          <w:tcPr>
            <w:tcW w:w="4785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Степень благоустройства районов жилой застройки </w:t>
            </w:r>
          </w:p>
        </w:tc>
        <w:tc>
          <w:tcPr>
            <w:tcW w:w="4786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>Удельное хозяйственно-питьевое водопотребление в населенных пунктах на одного жителя среднесуточное (за год), л/сут</w:t>
            </w:r>
          </w:p>
        </w:tc>
      </w:tr>
      <w:tr w:rsidR="003A71F7" w:rsidRPr="00950B10" w:rsidTr="0094269B">
        <w:tc>
          <w:tcPr>
            <w:tcW w:w="4785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4786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</w:p>
        </w:tc>
      </w:tr>
      <w:tr w:rsidR="003A71F7" w:rsidRPr="00950B10" w:rsidTr="0094269B">
        <w:tc>
          <w:tcPr>
            <w:tcW w:w="4785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без ванн </w:t>
            </w:r>
          </w:p>
        </w:tc>
        <w:tc>
          <w:tcPr>
            <w:tcW w:w="4786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125-160 </w:t>
            </w:r>
          </w:p>
        </w:tc>
      </w:tr>
      <w:tr w:rsidR="003A71F7" w:rsidRPr="00950B10" w:rsidTr="0094269B">
        <w:tc>
          <w:tcPr>
            <w:tcW w:w="4785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с ванными и местными водонагревателями </w:t>
            </w:r>
          </w:p>
        </w:tc>
        <w:tc>
          <w:tcPr>
            <w:tcW w:w="4786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160-230 </w:t>
            </w:r>
          </w:p>
        </w:tc>
      </w:tr>
      <w:tr w:rsidR="003A71F7" w:rsidRPr="00950B10" w:rsidTr="0094269B">
        <w:tc>
          <w:tcPr>
            <w:tcW w:w="4785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с централизованным горячим водоснабжением </w:t>
            </w:r>
          </w:p>
        </w:tc>
        <w:tc>
          <w:tcPr>
            <w:tcW w:w="4786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  <w:sz w:val="23"/>
                <w:szCs w:val="23"/>
              </w:rPr>
            </w:pPr>
            <w:r w:rsidRPr="00950B10">
              <w:rPr>
                <w:color w:val="000000"/>
                <w:sz w:val="23"/>
                <w:szCs w:val="23"/>
              </w:rPr>
              <w:t xml:space="preserve">230-350 </w:t>
            </w:r>
          </w:p>
        </w:tc>
      </w:tr>
    </w:tbl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Расчетные расходы воды на поливку - 50-90 л/сутки на человека.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Расчетные расходы воды на противопожарные нужды - в соответствии с СП 31.13330.2012.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 xml:space="preserve">Расчетный среднесуточный (за год) расход сточных вод населенных пунктов </w:t>
      </w:r>
      <w:r w:rsidRPr="00950B10">
        <w:rPr>
          <w:color w:val="000000"/>
        </w:rPr>
        <w:br/>
        <w:t>определяется как сумма среднесуточных расходов по всем видам сточных вод в зависимости от системы водоотведения (без учета расхода воды на поливку и противопожарные нужды).</w:t>
      </w:r>
    </w:p>
    <w:p w:rsidR="003A71F7" w:rsidRPr="005E1903" w:rsidRDefault="003A71F7" w:rsidP="003A71F7">
      <w:pPr>
        <w:ind w:firstLine="567"/>
        <w:jc w:val="both"/>
        <w:rPr>
          <w:color w:val="000000"/>
        </w:rPr>
      </w:pPr>
      <w:r w:rsidRPr="005E1903">
        <w:rPr>
          <w:color w:val="000000"/>
        </w:rPr>
        <w:t>Укрупненные показатели потребления газа для жилищно - коммунального сектора:</w:t>
      </w:r>
    </w:p>
    <w:p w:rsidR="003A71F7" w:rsidRPr="005E1903" w:rsidRDefault="003A71F7" w:rsidP="00240B71">
      <w:pPr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5E1903">
        <w:rPr>
          <w:color w:val="000000"/>
        </w:rPr>
        <w:t>при наличии централизованного горячего водоснабжения - 100 м.куб/год на 1 человека;</w:t>
      </w:r>
    </w:p>
    <w:p w:rsidR="003A71F7" w:rsidRPr="005E1903" w:rsidRDefault="003A71F7" w:rsidP="00240B71">
      <w:pPr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5E1903">
        <w:rPr>
          <w:color w:val="000000"/>
        </w:rPr>
        <w:t>при горячем водоснабжении от газовых водонагревателей - 250 м.куб/год на 1 человека;</w:t>
      </w:r>
    </w:p>
    <w:p w:rsidR="003A71F7" w:rsidRPr="005E1903" w:rsidRDefault="003A71F7" w:rsidP="00240B71">
      <w:pPr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5E1903">
        <w:rPr>
          <w:color w:val="000000"/>
        </w:rPr>
        <w:t>при отсутствии всяких видов горячего водоснабжения:</w:t>
      </w:r>
    </w:p>
    <w:p w:rsidR="003A71F7" w:rsidRPr="005E1903" w:rsidRDefault="003A71F7" w:rsidP="00240B71">
      <w:pPr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5E1903">
        <w:rPr>
          <w:color w:val="000000"/>
        </w:rPr>
        <w:t>в городе -125 м</w:t>
      </w:r>
      <w:r w:rsidRPr="005E1903">
        <w:rPr>
          <w:color w:val="000000"/>
          <w:vertAlign w:val="superscript"/>
        </w:rPr>
        <w:t>3</w:t>
      </w:r>
      <w:r w:rsidRPr="005E1903">
        <w:rPr>
          <w:color w:val="000000"/>
        </w:rPr>
        <w:t xml:space="preserve">/год на 1 человека, </w:t>
      </w:r>
    </w:p>
    <w:p w:rsidR="003A71F7" w:rsidRPr="005E1903" w:rsidRDefault="003A71F7" w:rsidP="00240B71">
      <w:pPr>
        <w:numPr>
          <w:ilvl w:val="0"/>
          <w:numId w:val="10"/>
        </w:numPr>
        <w:ind w:left="0" w:firstLine="567"/>
        <w:jc w:val="both"/>
        <w:rPr>
          <w:color w:val="000000"/>
        </w:rPr>
      </w:pPr>
      <w:r w:rsidRPr="005E1903">
        <w:rPr>
          <w:color w:val="000000"/>
        </w:rPr>
        <w:t>в сельской местности -165 м</w:t>
      </w:r>
      <w:r w:rsidRPr="005E1903">
        <w:rPr>
          <w:color w:val="000000"/>
          <w:vertAlign w:val="superscript"/>
        </w:rPr>
        <w:t>3</w:t>
      </w:r>
      <w:r w:rsidRPr="005E1903">
        <w:rPr>
          <w:color w:val="000000"/>
        </w:rPr>
        <w:t>/год на 1 человека.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7" w:name="_Toc414879749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Канализация</w:t>
      </w:r>
      <w:bookmarkEnd w:id="7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Систему канализации населенных пунктов следует проектировать в соответствии с требованиями </w:t>
      </w:r>
      <w:r w:rsidRPr="0068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 32.13330.2012.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Выбор системы канализования следует производить на основе технико-экономического сравнения вариантов, полностью, исключая сброс неочищенных сточных вод в водоемы.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городском поселении следует применять преимущественно централизованную систему канализации, позволяющую осуществлять сбор и отвод сточных вод от возможно большего числа объектов.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Водоотведение из населенных пунктов бытовых и промышленных стоков, как правило, должно решаться комплексно, при этом полностью исключается сброс неочищенных сточных вод в водоемы.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земельных участков, необходимые для размещения канализационных очистных сооружений, рекомендуется принимать в соответствии с данными, приведенными </w:t>
      </w: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таблице 8.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Санитарно-защитные зоны от канализационных очистных сооружений следует устанавливать согласно СанПиН 2.2.1/2.1.1.1200-03. 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Очистку сточных вод следует предусматривать на искусственных сооружениях биологическим методом.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При большой неравномерности поступления сточных вод на очистку следует предусматривать резервуары-усреднители.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канализации для отдельно стоящих зданий или их групп допускается устройство децентрализованной системы канализации. Для отдельно стоящих зданий при расходе бытовых сточных вод до 1м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3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/сутки допускается устройство люфт-клозетов или выгребов.</w:t>
      </w:r>
    </w:p>
    <w:p w:rsidR="003A71F7" w:rsidRPr="00950B10" w:rsidRDefault="003A71F7" w:rsidP="003A71F7">
      <w:pPr>
        <w:jc w:val="right"/>
        <w:rPr>
          <w:color w:val="000000"/>
        </w:rPr>
      </w:pPr>
      <w:r w:rsidRPr="00520DD9">
        <w:rPr>
          <w:color w:val="000000"/>
        </w:rPr>
        <w:t xml:space="preserve">Таблица </w:t>
      </w:r>
      <w:r>
        <w:rPr>
          <w:color w:val="000000"/>
        </w:rPr>
        <w:t>8</w:t>
      </w:r>
    </w:p>
    <w:p w:rsidR="003A71F7" w:rsidRPr="00950B10" w:rsidRDefault="003A71F7" w:rsidP="003A71F7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Производительность очистных сооружений, тыс.м</w:t>
            </w:r>
            <w:r w:rsidRPr="00950B10">
              <w:rPr>
                <w:color w:val="000000"/>
                <w:vertAlign w:val="superscript"/>
              </w:rPr>
              <w:t>3</w:t>
            </w:r>
            <w:r w:rsidRPr="00950B10">
              <w:rPr>
                <w:color w:val="000000"/>
              </w:rPr>
              <w:t>/сут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Площадь участка очистных сооружений, га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Площадь иловых площадок, га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до 0,05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0,15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0,2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0,05 - 0,2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0,3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0,2 - 0,4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0,4 - 0,7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2,0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0,7 - 17,0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4,0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3,0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17,0 - 40,0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6,0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9,0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40,0 - 130,0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12,0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25,0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130 - 175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14,0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30,0 </w:t>
            </w:r>
          </w:p>
        </w:tc>
      </w:tr>
      <w:tr w:rsidR="003A71F7" w:rsidRPr="00950B10" w:rsidTr="0094269B"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175 - 280 </w:t>
            </w:r>
          </w:p>
        </w:tc>
        <w:tc>
          <w:tcPr>
            <w:tcW w:w="319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18,0 </w:t>
            </w:r>
          </w:p>
        </w:tc>
        <w:tc>
          <w:tcPr>
            <w:tcW w:w="3191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55,0 </w:t>
            </w:r>
          </w:p>
        </w:tc>
      </w:tr>
    </w:tbl>
    <w:p w:rsidR="003A71F7" w:rsidRPr="00950B10" w:rsidRDefault="003A71F7" w:rsidP="003A71F7">
      <w:pPr>
        <w:jc w:val="right"/>
        <w:rPr>
          <w:color w:val="000000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0"/>
        <w:gridCol w:w="3068"/>
        <w:gridCol w:w="3082"/>
      </w:tblGrid>
      <w:tr w:rsidR="003A71F7" w:rsidRPr="00950B10" w:rsidTr="0094269B">
        <w:trPr>
          <w:trHeight w:val="15"/>
          <w:tblCellSpacing w:w="15" w:type="dxa"/>
          <w:jc w:val="center"/>
        </w:trPr>
        <w:tc>
          <w:tcPr>
            <w:tcW w:w="1952" w:type="pct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  <w:tc>
          <w:tcPr>
            <w:tcW w:w="1492" w:type="pct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  <w:tc>
          <w:tcPr>
            <w:tcW w:w="1492" w:type="pct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</w:tr>
    </w:tbl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Устройство общего сборника сточных вод на одно здание или группу зданий допускается: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отсутствии централизованной системы канализации;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расположении зданий на значительном удалении от действующих основных канализационных сетей;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невозможности в ближайшее время присоединения к общей канализационной сети.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В качестве сборника сточных вод (по согласованию с органами санитарного надзора) можно предусматривать септики или аккумулирующие резервуары. При этом необходимо предусматривать гидроизоляцию резервуаров для предотвращения эксфильтрации и инфильтрации через стенки.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сложившейся малоэтажной застройке при невозможности (или нерациональности) устройства канализационной сети и сборников сточных вод допускается устройство в малоэтажных зданиях с ограниченным сроком службы биотуалетов, люфт-клозетов с выгребами. В состав канализации здания с люфт-клозетом входят: отапливаемое помещение санитарного узла, стояк, выгреб, вентиляционные устройства.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lastRenderedPageBreak/>
        <w:t>При устройстве вентиляции в люфт-клозетах необходимо: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устраивать вентиляционный канал непосредственно из выгреба;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вентиляционный канал должен быть выведен не менее чем на 0,7 м выше кровли.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Выгреб, изготавливаемый из бетона, железобетона или кирпича, должен иметь снаружи замок из мятой глины слоем 300 мм (или другую изоляцию) для обеспечения водонепроницаемости.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Расстояние от люфт-клозетов или выгребов до индивидуального источника питьевого водоснабжения принимается в соответствии с СанПиН 2.1.4.1175-02.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8" w:name="_Toc414879750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Энергоснабжение</w:t>
      </w:r>
      <w:bookmarkEnd w:id="8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Расход электроэнергии, потребность в тепле, газе и мощности источников энергоснабжения для хозяйственно-бытовых и коммунальных нужд следует определять в соответствии с требованиями СП 124.13330.2012, СП 62.13330.2011, </w:t>
      </w:r>
      <w:hyperlink r:id="rId8" w:history="1">
        <w:r w:rsidRPr="00950B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РД 34.20.185-94</w:t>
        </w:r>
      </w:hyperlink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а также изменениями и дополнениями к разделу 2 «Расчетные электрические нагрузки» </w:t>
      </w:r>
      <w:hyperlink r:id="rId9" w:history="1">
        <w:r w:rsidRPr="00950B10">
          <w:rPr>
            <w:rFonts w:ascii="Times New Roman" w:eastAsia="Times New Roman" w:hAnsi="Times New Roman"/>
            <w:color w:val="000000"/>
            <w:sz w:val="24"/>
            <w:szCs w:val="24"/>
            <w:lang w:eastAsia="ru-RU"/>
          </w:rPr>
          <w:t>РД 34.20.185-94</w:t>
        </w:r>
      </w:hyperlink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учетом требований «Правил устройства электроустановок», «Правил  безопасности для объектов, использующих сжиженные углеводородные газы». При размещении линий электропередач и понизительных подстанций в застройке следует учитывать требования СП 42.13330.2011.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Следует предусматривать постепенную ликвидацию существующих воздушных ЛЭП напряжением 110 кВ и выше, проходящих по территориям жилого и общественного назначения, путем замены их кабельными линиями на участках, где высвобождаемую территорию можно застроить.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Трансформаторные подстанции напряжением 10 кВ и ниже допускается встраивать в жилые и общественные здания (в том случае, когда по архитектурно-планировочным или технико-экономическим соображениям строительство отдельно стоящих подстанций нецелесообразно) при соблюдении следующих условий: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трансформаторные подстанции отделены от остальных помещений здания противопожарными стенами и перекрытиями;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звукового давления ограничен в соответствии с действующими нормами;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уровень ЭМП принимается в соответствии с предельно допустимым.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Трансформаторные подстанции, встраиваемые в жилые здания, должны иметь самостоятельные фундаменты, стены и перекрытия. Граничащие с ними помещения должны быть нежилыми.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и реконструкции кварталов и межмагистральных территорий следует обеспечивать их электроснабжение от двух независимых источников питания: от двух подстанций или от разных секций шин одной подстанции при условии, что каждая из секций имеет питание от независимого источника, и секции имеют связь, автоматически отключаемую при нарушении работы одной секции.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Прокладку кабельных линий от одного центра питания к потребителям первой категории по надежности электроснабжения, как правило, следует предусматривать по разным трассам. При отсутствии такой возможности прокладка кабелей предусматривается в одной зоне, но с расстоянием между кабелями не менее 1м.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реконструкции распределительных электросетей и проектировании электроснабжения новых потребителей электроэнергии следует предусматривать применение напряжения 10 кВ и перевод напряжения с 6 кВ на 10 кВ.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bCs/>
          <w:iCs/>
          <w:color w:val="000000"/>
        </w:rPr>
        <w:t>Примечание</w:t>
      </w:r>
      <w:r w:rsidRPr="00950B10">
        <w:rPr>
          <w:color w:val="000000"/>
        </w:rPr>
        <w:t>. При строительстве распределительных сетей напряжением 10 кВ (6 кВ) следует применять преимущественно кабели в полиэтиленовой изоляции.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централизованных источников теплоснабжения предусматривается, как правило, в производственных (промышленных и коммунальных) зонах, по возможности в центре тепловых нагрузок.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земельных участков для отдельно стоящих отопительных котельных, располагаемых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жилой зоне, следует принимать в 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соответствии с данными, приведенными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</w:t>
      </w: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Для жилой зоны и нежилых зон рекомендуется применять раздельные тепловые сети, идущие непосредственно от источника теплоснабжения.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городских и сельских населенных пунктах (прежде всего при одно-двухэтажной застройке) возможно как централизованное, так и автономное обеспечение теплом на нужды отопления и горячего водоснабжения. Выбор варианта осуществляется на основании технико-экономических расчетов при условии соблюдения экологических требований.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bCs/>
          <w:iCs/>
          <w:color w:val="000000"/>
        </w:rPr>
        <w:t>Примечание</w:t>
      </w:r>
      <w:r w:rsidRPr="00950B10">
        <w:rPr>
          <w:color w:val="000000"/>
        </w:rPr>
        <w:t>. При децентрализованном теплоснабжении применяются автономные генераторы тепла различных конструкций, работающие на местных видах топлива.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</w:p>
    <w:p w:rsidR="003A71F7" w:rsidRPr="00950B10" w:rsidRDefault="003A71F7" w:rsidP="003A71F7">
      <w:pPr>
        <w:jc w:val="right"/>
        <w:rPr>
          <w:color w:val="000000"/>
        </w:rPr>
      </w:pPr>
      <w:r w:rsidRPr="00520DD9">
        <w:rPr>
          <w:color w:val="000000"/>
        </w:rPr>
        <w:t xml:space="preserve">Таблица </w:t>
      </w:r>
      <w:r>
        <w:rPr>
          <w:color w:val="000000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"/>
        <w:gridCol w:w="3127"/>
        <w:gridCol w:w="1758"/>
        <w:gridCol w:w="1432"/>
        <w:gridCol w:w="920"/>
        <w:gridCol w:w="2208"/>
        <w:gridCol w:w="63"/>
      </w:tblGrid>
      <w:tr w:rsidR="003A71F7" w:rsidRPr="00950B10" w:rsidTr="0094269B">
        <w:tc>
          <w:tcPr>
            <w:tcW w:w="3190" w:type="dxa"/>
            <w:gridSpan w:val="2"/>
            <w:vMerge w:val="restart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Теплопроизводительность</w:t>
            </w:r>
          </w:p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котельных, Гкал/ч (МВт)</w:t>
            </w:r>
          </w:p>
        </w:tc>
        <w:tc>
          <w:tcPr>
            <w:tcW w:w="6381" w:type="dxa"/>
            <w:gridSpan w:val="5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Размеры земельных участков котельных, работающих:</w:t>
            </w:r>
          </w:p>
        </w:tc>
      </w:tr>
      <w:tr w:rsidR="003A71F7" w:rsidRPr="00950B10" w:rsidTr="0094269B">
        <w:tc>
          <w:tcPr>
            <w:tcW w:w="3190" w:type="dxa"/>
            <w:gridSpan w:val="2"/>
            <w:vMerge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на твердом топливе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на газо-мазутном топливе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До 5 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0,7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0,7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От 5 до 10 (от 6 до 12)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1,0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1,0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Св. 10 до 50 (св. 12 до 58)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2,0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1,5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" 50 " 100 ( " 58 " 116)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3,0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2,5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" 100 " 200 ( " 116 " 233)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3,7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3,0 </w:t>
            </w:r>
          </w:p>
        </w:tc>
      </w:tr>
      <w:tr w:rsidR="003A71F7" w:rsidRPr="00950B10" w:rsidTr="0094269B"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>" 200 " 400 ( " 233 " 466)</w:t>
            </w:r>
          </w:p>
        </w:tc>
        <w:tc>
          <w:tcPr>
            <w:tcW w:w="3190" w:type="dxa"/>
            <w:gridSpan w:val="2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4,3 </w:t>
            </w:r>
          </w:p>
        </w:tc>
        <w:tc>
          <w:tcPr>
            <w:tcW w:w="3191" w:type="dxa"/>
            <w:gridSpan w:val="3"/>
            <w:shd w:val="clear" w:color="auto" w:fill="auto"/>
          </w:tcPr>
          <w:p w:rsidR="003A71F7" w:rsidRPr="00950B10" w:rsidRDefault="003A71F7" w:rsidP="0094269B">
            <w:pPr>
              <w:jc w:val="both"/>
              <w:rPr>
                <w:color w:val="000000"/>
              </w:rPr>
            </w:pPr>
            <w:r w:rsidRPr="00950B10">
              <w:rPr>
                <w:color w:val="000000"/>
              </w:rPr>
              <w:t xml:space="preserve">3,5 </w:t>
            </w:r>
          </w:p>
        </w:tc>
      </w:tr>
      <w:tr w:rsidR="003A71F7" w:rsidRPr="00950B10" w:rsidTr="0094269B">
        <w:tblPrEx>
          <w:jc w:val="center"/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63" w:type="dxa"/>
          <w:wAfter w:w="63" w:type="dxa"/>
          <w:trHeight w:val="15"/>
          <w:tblCellSpacing w:w="15" w:type="dxa"/>
          <w:jc w:val="center"/>
        </w:trPr>
        <w:tc>
          <w:tcPr>
            <w:tcW w:w="4885" w:type="dxa"/>
            <w:gridSpan w:val="2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  <w:tc>
          <w:tcPr>
            <w:tcW w:w="2352" w:type="dxa"/>
            <w:gridSpan w:val="2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  <w:tc>
          <w:tcPr>
            <w:tcW w:w="2208" w:type="dxa"/>
            <w:vAlign w:val="center"/>
            <w:hideMark/>
          </w:tcPr>
          <w:p w:rsidR="003A71F7" w:rsidRPr="00950B10" w:rsidRDefault="003A71F7" w:rsidP="0094269B">
            <w:pPr>
              <w:jc w:val="both"/>
              <w:rPr>
                <w:color w:val="000000"/>
                <w:sz w:val="2"/>
              </w:rPr>
            </w:pPr>
          </w:p>
        </w:tc>
      </w:tr>
    </w:tbl>
    <w:p w:rsidR="003A71F7" w:rsidRPr="00950B10" w:rsidRDefault="003A71F7" w:rsidP="003A71F7">
      <w:pPr>
        <w:tabs>
          <w:tab w:val="left" w:pos="0"/>
        </w:tabs>
        <w:ind w:firstLine="426"/>
        <w:jc w:val="both"/>
        <w:rPr>
          <w:bCs/>
          <w:iCs/>
          <w:color w:val="000000"/>
        </w:rPr>
      </w:pPr>
      <w:r w:rsidRPr="00950B10">
        <w:rPr>
          <w:bCs/>
          <w:iCs/>
          <w:color w:val="000000"/>
        </w:rPr>
        <w:t>Примечания:</w:t>
      </w:r>
    </w:p>
    <w:p w:rsidR="003A71F7" w:rsidRPr="00950B10" w:rsidRDefault="003A71F7" w:rsidP="00240B71">
      <w:pPr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950B10">
        <w:rPr>
          <w:color w:val="000000"/>
        </w:rPr>
        <w:t>Размеры земельных участков отопительных котельных, обеспечивающих потребителей горячей водой с непосредственным водоразбором, а также котельных, доставка топлива к которым предусматривается по железной дороге, следует увеличивать на 20 %.</w:t>
      </w:r>
    </w:p>
    <w:p w:rsidR="003A71F7" w:rsidRPr="00950B10" w:rsidRDefault="003A71F7" w:rsidP="00240B71">
      <w:pPr>
        <w:numPr>
          <w:ilvl w:val="0"/>
          <w:numId w:val="9"/>
        </w:numPr>
        <w:tabs>
          <w:tab w:val="left" w:pos="0"/>
        </w:tabs>
        <w:ind w:left="0" w:firstLine="426"/>
        <w:jc w:val="both"/>
        <w:rPr>
          <w:color w:val="000000"/>
        </w:rPr>
      </w:pPr>
      <w:r w:rsidRPr="00950B10">
        <w:rPr>
          <w:color w:val="000000"/>
        </w:rPr>
        <w:t>Размеры санитарно-защитных зон от котельных определяются в соответствии с СанПиН 2.2.1/2.1.1.1200-03.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Использование индивидуальных котельных допускается на основании технико-экономического обоснования при отсутствии: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резерва тепла на централизованном источнике (ТЭЦ или котельной);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тепловых сетей;</w:t>
      </w:r>
    </w:p>
    <w:p w:rsidR="003A71F7" w:rsidRPr="00950B10" w:rsidRDefault="003A71F7" w:rsidP="00240B71">
      <w:pPr>
        <w:pStyle w:val="aff9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объектов I категории - при невозможности резервирования подачи тепла от двух независимых магистралей.</w:t>
      </w:r>
    </w:p>
    <w:p w:rsidR="003A71F7" w:rsidRPr="00950B10" w:rsidRDefault="003A71F7" w:rsidP="003A71F7">
      <w:pPr>
        <w:tabs>
          <w:tab w:val="left" w:pos="0"/>
        </w:tabs>
        <w:jc w:val="both"/>
        <w:rPr>
          <w:color w:val="000000"/>
        </w:rPr>
      </w:pPr>
      <w:r w:rsidRPr="00950B10">
        <w:rPr>
          <w:color w:val="000000"/>
        </w:rPr>
        <w:tab/>
        <w:t>Индивидуальные котельные могут быть отдельно стоящими, пристроенными к зданиям, встроенными в здания. Основание для проектирования и вид локальной котельной (отдельно стоящая, пристроенная, встроенная в здание, крышная) в каждом конкретном случае определяется по согласованию с энергоснабжающими организациями, органами архитектуры муниципальной администрации и со специально уполномоченными органами в области охраны природы и санитарного благополучия человека.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Размещение встроенных газовых котельных в общественных зданиях должно проводиться в соответствии </w:t>
      </w:r>
      <w:r w:rsidRPr="0068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СП 89.13330.2012,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 также СанПиН 2.2.1/2.1.1.1200-03 и СанПиН 2.1.6.1032-01 при учете требований взрывопожаробезопасности, обеспечения нормативов воздухообмена котельной (включая аварийную вентиляцию) и использовании оборудования, функционирующего в автоматическом режиме без обслуживающего персонала.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земельных участков газонаполнительных станций (ГНС), газонаполнительных пунктов (ГНП) и промежуточных складов баллонов (ПСБ), а также расстояния от них до зданий и сооружений различного назначения следует принимать согласно </w:t>
      </w:r>
      <w:r w:rsidRPr="0068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 62.13330.2011*.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Годовые и максимальные часовые расходы газа по предприятиям (котельным, баням, прачечным, промышленным объектам) следует устанавливать по данным теплопотребления.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соответствующем технико-экономическом обосновании в схеме энергоснабжения следует предусматривать установки альтернативных возобновляемых источников энергии (солнечные установки, ветроагрегаты и другие).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Укрупненные показатели электропотребления </w:t>
      </w:r>
    </w:p>
    <w:p w:rsidR="003A71F7" w:rsidRPr="00950B10" w:rsidRDefault="003A71F7" w:rsidP="003A71F7">
      <w:pPr>
        <w:pStyle w:val="aff9"/>
        <w:spacing w:after="0" w:line="240" w:lineRule="auto"/>
        <w:ind w:left="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6471"/>
        <w:gridCol w:w="2290"/>
        <w:gridCol w:w="1433"/>
      </w:tblGrid>
      <w:tr w:rsidR="003A71F7" w:rsidRPr="00950B10" w:rsidTr="0094269B">
        <w:tc>
          <w:tcPr>
            <w:tcW w:w="3174" w:type="pct"/>
            <w:vMerge w:val="restar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lastRenderedPageBreak/>
              <w:t xml:space="preserve">Наименование объекта (наименование ресурса) *                 </w:t>
            </w:r>
          </w:p>
        </w:tc>
        <w:tc>
          <w:tcPr>
            <w:tcW w:w="1826" w:type="pct"/>
            <w:gridSpan w:val="2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Минимально допустимый уровень</w:t>
            </w:r>
          </w:p>
        </w:tc>
      </w:tr>
      <w:tr w:rsidR="003A71F7" w:rsidRPr="00950B10" w:rsidTr="0094269B">
        <w:tc>
          <w:tcPr>
            <w:tcW w:w="3174" w:type="pct"/>
            <w:vMerge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Единица измерения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Величина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Электроснабжение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Укрупненные показатели электропотребления: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электропотребление **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Городские поселения, не оборудованные стационарными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электроплитами: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без кондиционеров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с кондиционерами                              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кВт•ч /год на 1  чел.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1360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1600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электропотребление **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Городские поселения, оборудованные стационарными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Электроплитами (100% охвата):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без кондиционеров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с кондиционерами                              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кВт•ч /год на 1  чел.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1680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1920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электропотребление **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Поселки и сельские поселения (без кондиционеров):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–не оборудованные стационарными электроплитами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–оборудованные стационарными электроплитами (100%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охвата)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кВт•ч /год на 1  чел.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950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1350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использование максимума электрической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нагрузки**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Городские поселения, не оборудованные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стационарными электроплитами: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без кондиционеров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– с кондиционерами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ч/год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5200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5700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использование максимума электрической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нагрузки**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Городские поселения, оборудованные стационарными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электроплитами (100% охвата):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 без кондиционеров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– с кондиционерами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ч/год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5300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5800</w:t>
            </w:r>
          </w:p>
        </w:tc>
      </w:tr>
      <w:tr w:rsidR="003A71F7" w:rsidRPr="00950B10" w:rsidTr="0094269B">
        <w:tc>
          <w:tcPr>
            <w:tcW w:w="3174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Электроэнергия, использование максимума электрической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нагрузки** 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Поселки и сельские поселения (без кондиционеров):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–не оборудованные стационарными электроплитами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–оборудованные стационарными электроплитами (100%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охвата)</w:t>
            </w:r>
          </w:p>
        </w:tc>
        <w:tc>
          <w:tcPr>
            <w:tcW w:w="112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ч/год</w:t>
            </w:r>
          </w:p>
        </w:tc>
        <w:tc>
          <w:tcPr>
            <w:tcW w:w="703" w:type="pct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4100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4400</w:t>
            </w:r>
          </w:p>
        </w:tc>
      </w:tr>
    </w:tbl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 xml:space="preserve">Примечания: 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 xml:space="preserve">1. Укрупненные показатели электропотребления приводятся для малых городов численностью до 50 тысяч человек.      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 xml:space="preserve">2.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канализации и теплоснабжения. 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 xml:space="preserve">3. (*) Для определения в целях градостроительного проектирования минимально допустимого уровня обеспеченности объектами, следует использовать норму минимальной обеспеченности населения (территории) соответствующим ресурсом и характеристики планируемых к размещению объектов. 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 xml:space="preserve">4. (**) Нормы электропотребления и использования максимума электрической нагрузки следует использовать в целях градостроительного проектирования в качестве укрупнённых показателей электропотребления. 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5. (***) Расчёт электрических нагрузок для разных типов застройки следует производить в соответствии с нормами РД 34.20.185-94.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Размеры участков для размещения объектов электроснабжения </w:t>
      </w:r>
    </w:p>
    <w:p w:rsidR="003A71F7" w:rsidRPr="00950B10" w:rsidRDefault="003A71F7" w:rsidP="003A71F7">
      <w:pPr>
        <w:pStyle w:val="aff9"/>
        <w:spacing w:after="0" w:line="240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3A71F7">
      <w:pPr>
        <w:pStyle w:val="aff9"/>
        <w:spacing w:after="0" w:line="240" w:lineRule="auto"/>
        <w:ind w:left="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2092"/>
      </w:tblGrid>
      <w:tr w:rsidR="003A71F7" w:rsidRPr="00950B10" w:rsidTr="0094269B">
        <w:tc>
          <w:tcPr>
            <w:tcW w:w="7479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Наименование объекта</w:t>
            </w:r>
          </w:p>
        </w:tc>
        <w:tc>
          <w:tcPr>
            <w:tcW w:w="209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Размер участка, м</w:t>
            </w:r>
          </w:p>
        </w:tc>
      </w:tr>
      <w:tr w:rsidR="003A71F7" w:rsidRPr="00950B10" w:rsidTr="0094269B">
        <w:tc>
          <w:tcPr>
            <w:tcW w:w="7479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Закрытая подстанция глубокого ввода 110/10 кВ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с помощью трансформаторов 2 x 80 МВА и выше</w:t>
            </w:r>
          </w:p>
        </w:tc>
        <w:tc>
          <w:tcPr>
            <w:tcW w:w="209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80 × 80</w:t>
            </w:r>
          </w:p>
        </w:tc>
      </w:tr>
      <w:tr w:rsidR="003A71F7" w:rsidRPr="00950B10" w:rsidTr="0094269B">
        <w:tc>
          <w:tcPr>
            <w:tcW w:w="7479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Переключательный пункт кабельных линий напряжением  110кВ</w:t>
            </w:r>
          </w:p>
        </w:tc>
        <w:tc>
          <w:tcPr>
            <w:tcW w:w="209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20×20</w:t>
            </w:r>
          </w:p>
        </w:tc>
      </w:tr>
      <w:tr w:rsidR="003A71F7" w:rsidRPr="00950B10" w:rsidTr="0094269B">
        <w:tc>
          <w:tcPr>
            <w:tcW w:w="7479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Распределительная трансформаторная подстанция с двумя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трансформаторами мощностью до 1000 кВА</w:t>
            </w:r>
          </w:p>
        </w:tc>
        <w:tc>
          <w:tcPr>
            <w:tcW w:w="209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18×6</w:t>
            </w:r>
          </w:p>
        </w:tc>
      </w:tr>
      <w:tr w:rsidR="003A71F7" w:rsidRPr="00950B10" w:rsidTr="0094269B">
        <w:tc>
          <w:tcPr>
            <w:tcW w:w="7479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Трансформаторная подстанция на два трансформатора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мощностью до 1000 кВА</w:t>
            </w:r>
          </w:p>
        </w:tc>
        <w:tc>
          <w:tcPr>
            <w:tcW w:w="209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8,0×12</w:t>
            </w:r>
          </w:p>
        </w:tc>
      </w:tr>
    </w:tbl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Размеры земельных участков для закрытых понизительных подстанций, включая комплектные и распределительные устройства напряжением 110  –  220 кВ, следует принимать не более 0,6 га, а пунктов перехода воздушных линий в кабельные – не более 0,1 га.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426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9" w:name="_Toc414879751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Связь</w:t>
      </w:r>
      <w:bookmarkEnd w:id="9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Размещение предприятий, зданий и сооружений связи, радиовещания и телевидения, пожарной и охранной сигнализации, диспетчеризации систем инженерного оборудования следует осуществлять в соответствии с требованиями РД 45.120-2000, СанПиН 2.1.8/2.2.4.1383-03, СанПиН 2971-84 и других, утвержденных в установленном порядке нормативных документов.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Отделения почтовой связи желательно размещать в общественных и торговых комплексах, а в сельской местности - в составе административных зданий. При экономической и технической целесообразности в почтовых отделениях связи следует предусматривать выделение помещений для размещения оборудования АТС, концентраторов и пунктов по предоставлению услуг электрической связи.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bCs/>
          <w:iCs/>
          <w:color w:val="000000"/>
        </w:rPr>
        <w:t>Примечание</w:t>
      </w:r>
      <w:r w:rsidRPr="00950B10">
        <w:rPr>
          <w:color w:val="000000"/>
        </w:rPr>
        <w:t>. При проектировании отделений почтовой связи, пунктов по предоставлению услуг электрической связи следует предусматривать возможность доступа в них инвалидов (установка пандусов и другое).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Здания автоматических телефонных станций (АТС) следует размещать на внутриквартальной территории в отдалении от жилых домов, тяговых подстанций и ЛЭП, предусматривая к ним не менее двух подходов трасс кабелей (магистральных и соединительных).</w:t>
      </w:r>
    </w:p>
    <w:p w:rsidR="003A71F7" w:rsidRPr="00950B10" w:rsidRDefault="003A71F7" w:rsidP="003A71F7">
      <w:pPr>
        <w:ind w:firstLine="426"/>
        <w:jc w:val="both"/>
        <w:rPr>
          <w:color w:val="000000"/>
        </w:rPr>
      </w:pPr>
      <w:r w:rsidRPr="00950B10">
        <w:rPr>
          <w:color w:val="000000"/>
        </w:rPr>
        <w:t>Электропитание АТС следует осуществлять от двух независимых вводов энергоснабжения и предусматривать также аварийный источник энергоснабжения и помещение для его размещения.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застройке новых территорий следует предусматривать строительство сетей распределительных систем кабельного телевидения (СРСКТ) с диапазоном частот от 5 до 862 МГц. Техническая емкость СРСКТ на дом определяется суммой емкости СРСКТ каждого подъезда, которая, в свою очередь, определяется произведением технической емкости этажа на количество этажей в подъезде. Техническая емкость СРСКТ этажа определяется суммой СРСКТ каждой квартиры, рассчитываемой как число жилых комнат в квартире плюс 1.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и реконструкции кварталов (микрорайонов) следует избегать образования «теневых зон», т.е. территорий, на которых уровни приема телевизионных каналов на выходе абонентских розеток ниже уровней, определенных ГОСТ Р 52023-2003. Новые СРСКТ, во избежание образования «теневых зон», должны строиться по схеме «антенна на дом» или «антенна на группу домов».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Расчет показателей обеспеченности объектами связи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3A71F7" w:rsidRPr="00950B10" w:rsidRDefault="003A71F7" w:rsidP="003A71F7">
      <w:pPr>
        <w:pStyle w:val="aff9"/>
        <w:spacing w:after="0" w:line="240" w:lineRule="auto"/>
        <w:ind w:left="42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20DD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268"/>
        <w:gridCol w:w="1560"/>
        <w:gridCol w:w="2233"/>
      </w:tblGrid>
      <w:tr w:rsidR="003A71F7" w:rsidRPr="00950B10" w:rsidTr="0094269B">
        <w:tc>
          <w:tcPr>
            <w:tcW w:w="351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Наименование объектов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Единица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измерения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Расчетные показатели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Площадь участка на единицу измерения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Отделение почтовой связи (на микрорайон)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 на 9-25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тысяч жителей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 на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микрорайон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700 - 1200 м</w:t>
            </w:r>
            <w:r w:rsidRPr="00950B10">
              <w:rPr>
                <w:color w:val="000000"/>
                <w:vertAlign w:val="superscript"/>
              </w:rPr>
              <w:t>2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Межрайонный почтамт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 xml:space="preserve">объект на 50-70 отделений </w:t>
            </w:r>
            <w:r w:rsidRPr="00950B10">
              <w:rPr>
                <w:color w:val="000000"/>
              </w:rPr>
              <w:lastRenderedPageBreak/>
              <w:t>почтовой связи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lastRenderedPageBreak/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0,6 – 1 га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lastRenderedPageBreak/>
              <w:t>АТС (из расчета 600 номеров на1000 жителей)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 на 10-40 тысяч номеров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0,25 га на объект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Узловая АТС (из расчета 1 узел на 10 АТС)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0,3 га на объект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Концентратор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 на 1,0-5,0 тысяч номеров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40 – 100 м</w:t>
            </w:r>
            <w:r w:rsidRPr="00950B10">
              <w:rPr>
                <w:color w:val="000000"/>
                <w:vertAlign w:val="superscript"/>
              </w:rPr>
              <w:t>2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Опорно-усилительная станция (из расчета 60-120 тыс. абонентов)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0,1 – 0,15 га на объект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Блок станция проводного вещания (из расчета 30-60 тыс. абонентов)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0,05 – 0,1 га на объект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Звуковые трансформаторные подстанции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(из расчета на 10-12 тысяч абонентов)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50 – 70 м</w:t>
            </w:r>
            <w:r w:rsidRPr="00950B10">
              <w:rPr>
                <w:color w:val="000000"/>
                <w:vertAlign w:val="superscript"/>
              </w:rPr>
              <w:t>2</w:t>
            </w:r>
            <w:r w:rsidRPr="00950B10">
              <w:rPr>
                <w:color w:val="000000"/>
              </w:rPr>
              <w:t xml:space="preserve"> на объект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Технический центр кабельного телевидения, коммутируемого доступа к сети Интернет, сотовой связи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 на жилой район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0,3 – 0,5 га на объект</w:t>
            </w:r>
          </w:p>
        </w:tc>
      </w:tr>
      <w:tr w:rsidR="003A71F7" w:rsidRPr="00950B10" w:rsidTr="0094269B">
        <w:tc>
          <w:tcPr>
            <w:tcW w:w="9571" w:type="dxa"/>
            <w:gridSpan w:val="4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Объекты коммунального хозяйства по обслуживанию инженерных коммуникаций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(общих коллекторов)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Диспетчерский пункт (из расчета 1 объект на 5 км городских коллекторов)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1-этажный 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120 м</w:t>
            </w:r>
            <w:r w:rsidRPr="00950B10">
              <w:rPr>
                <w:color w:val="000000"/>
                <w:vertAlign w:val="superscript"/>
              </w:rPr>
              <w:t>2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(0,04-0,05 га)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Центральный диспетчерский пункт (из расчета 1 объект на каждые 50 км коммуникационных коллекторов)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1-2 этажный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350 м</w:t>
            </w:r>
            <w:r w:rsidRPr="00950B10">
              <w:rPr>
                <w:color w:val="000000"/>
                <w:vertAlign w:val="superscript"/>
              </w:rPr>
              <w:t>2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(0,1 - 0,2 га)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Ремонтно-производственная база (из расчета 1 объект на каждые 100 км городских коллекторов)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этажность объекта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проекту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1500 м</w:t>
            </w:r>
            <w:r w:rsidRPr="00950B10">
              <w:rPr>
                <w:color w:val="000000"/>
                <w:vertAlign w:val="superscript"/>
              </w:rPr>
              <w:t>2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(1,0 га на объект)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Диспетчерский пункт (из расчета 1 объект на 1,5-6 км внутриквартальных коллекторов)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1-этажный 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100 м</w:t>
            </w:r>
            <w:r w:rsidRPr="00950B10">
              <w:rPr>
                <w:color w:val="000000"/>
                <w:vertAlign w:val="superscript"/>
              </w:rPr>
              <w:t>2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(0,04 - 0,05 га)</w:t>
            </w:r>
          </w:p>
        </w:tc>
      </w:tr>
      <w:tr w:rsidR="003A71F7" w:rsidRPr="00950B10" w:rsidTr="0094269B">
        <w:tc>
          <w:tcPr>
            <w:tcW w:w="3510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Производственное помещение для обслуживания внутриквартирных коллекторов (из расчета 1 объект на каждый административный округ)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объект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по расчету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500-700 м</w:t>
            </w:r>
            <w:r w:rsidRPr="00950B10">
              <w:rPr>
                <w:color w:val="000000"/>
                <w:vertAlign w:val="superscript"/>
              </w:rPr>
              <w:t>2</w:t>
            </w:r>
          </w:p>
          <w:p w:rsidR="003A71F7" w:rsidRPr="00950B10" w:rsidRDefault="003A71F7" w:rsidP="0094269B">
            <w:pPr>
              <w:adjustRightInd w:val="0"/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(0,25 - 0,3 га)</w:t>
            </w:r>
          </w:p>
        </w:tc>
      </w:tr>
    </w:tbl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0" w:name="_Toc414879752"/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Инженерные сети</w:t>
      </w:r>
      <w:bookmarkEnd w:id="10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1" w:name="_Toc414879753"/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Инженерные сети следует проектировать как комплексную систему с учетом их развития на соответствующий расчетный период.</w:t>
      </w:r>
      <w:bookmarkEnd w:id="11"/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Прокладку инженерных сетей в пределах красных линий магистралей следует предусматривать, как правило, вне основной проезжей части: под тротуарами или разделительными полосами - инженерные сети в коллекторах, каналах или тоннелях; в разделительных полосах - тепловые сети, водопровод, газопровод, хозяйственную, дождевую канализацию.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lastRenderedPageBreak/>
        <w:t xml:space="preserve">Размещение линейно-кабельных сооружений целесообразно выполнять в границах красных линий, на территориях общего пользования или на земельных участках отводимых для указанных целей. 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Для прокладки магистральных инженерных сетей в новых районах следует предусматривать специальные технические полосы с их благоустройством и озеленением.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реконструкции проезжих частей улиц и дорог с устройством капитальных дорожных капитальных покрытий, под которыми расположены подземные инженерные сети, следует предусматривать вынос этих сетей на разделительные полосы и под тротуары. При соответствующем обосновании допускаются под проезжими частями улиц сохранение существующих, а также прокладка в каналах и тоннелях новых сетей. На существующих улицах, не имеющих разделительных полос, допускается размещение новых инженерных сетей под проезжей частью при условии размещения их в тоннелях или каналах. При технической необходимости допускается прокладка газопровода под проезжими частями улиц.</w:t>
      </w:r>
    </w:p>
    <w:p w:rsidR="003A71F7" w:rsidRPr="006818A7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Расстояния по горизонтали (в свету) от ближайших подземных инженерных сетей до зданий и сооружений и между соседними инженерными подземными сетями при их параллельном размещении следует принимать по </w:t>
      </w:r>
      <w:r w:rsidRPr="0068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 42.13330.2011.</w:t>
      </w:r>
    </w:p>
    <w:p w:rsidR="003A71F7" w:rsidRPr="006818A7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18A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Магистральные трубопроводы следует прокладывать за пределами территории населенных пунктов в соответствии со СНиП 2.05.06-85*.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Прокладка трубопроводов с легковоспламеняющимися и горючими жидкостями, а также со сжиженными газами для снабжения промышленных предприятий и складов по территории жилой зоны не допускается.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переходов через автомобильные и железные дороги допускается применять надземные переходы в виде П-образного контура (в местах с наименьшим числом путей и за пределами стрелочных переводов) и подземные переходы в железобетонных каналах.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При проектировании надземного перехода расстояние от покрытия автодороги до низа труб или пролетного строения принимается не менее 5,0 м.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При подземной прокладке на трубопроводах с обеих сторон переходов следует располагать колодцы.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bCs/>
          <w:iCs/>
          <w:color w:val="000000"/>
        </w:rPr>
        <w:t>Примечание</w:t>
      </w:r>
      <w:r w:rsidRPr="00950B10">
        <w:rPr>
          <w:color w:val="000000"/>
        </w:rPr>
        <w:t>. Прокладка по территории жилой зоны надземных П-образных переходов через автодороги трубопроводов газоснабжения не допускается.</w:t>
      </w:r>
    </w:p>
    <w:p w:rsidR="003A71F7" w:rsidRPr="00950B10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Прокладка газовых и иных сетей по фасадам жилых и общественных зданий недопустима.</w:t>
      </w:r>
    </w:p>
    <w:p w:rsidR="003A71F7" w:rsidRPr="00F3731C" w:rsidRDefault="003A71F7" w:rsidP="00240B71">
      <w:pPr>
        <w:pStyle w:val="aff9"/>
        <w:numPr>
          <w:ilvl w:val="3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Минимально допустимый уровень обеспечения объектами газоснабжения</w:t>
      </w:r>
    </w:p>
    <w:p w:rsidR="003A71F7" w:rsidRPr="00F3731C" w:rsidRDefault="003A71F7" w:rsidP="003A71F7">
      <w:pPr>
        <w:ind w:firstLine="426"/>
        <w:jc w:val="both"/>
        <w:rPr>
          <w:color w:val="000000"/>
        </w:rPr>
      </w:pPr>
      <w:r w:rsidRPr="00F3731C">
        <w:rPr>
          <w:color w:val="000000"/>
        </w:rPr>
        <w:t>Укрупненные показатели уровня обеспеченности объектами газоснабжения</w:t>
      </w:r>
    </w:p>
    <w:p w:rsidR="003A71F7" w:rsidRPr="00950B10" w:rsidRDefault="003A71F7" w:rsidP="003A71F7">
      <w:pPr>
        <w:pStyle w:val="aff9"/>
        <w:spacing w:after="0" w:line="240" w:lineRule="auto"/>
        <w:ind w:left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1854"/>
        <w:gridCol w:w="1109"/>
        <w:gridCol w:w="6847"/>
      </w:tblGrid>
      <w:tr w:rsidR="003A71F7" w:rsidRPr="00950B10" w:rsidTr="0094269B"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№ п/п</w:t>
            </w:r>
          </w:p>
        </w:tc>
        <w:tc>
          <w:tcPr>
            <w:tcW w:w="670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Наименование норматива (потребители ресурса)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Единица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измерения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Величина</w:t>
            </w:r>
          </w:p>
        </w:tc>
      </w:tr>
      <w:tr w:rsidR="003A71F7" w:rsidRPr="00950B10" w:rsidTr="0094269B"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1.</w:t>
            </w:r>
          </w:p>
        </w:tc>
        <w:tc>
          <w:tcPr>
            <w:tcW w:w="670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Природный газ, при наличии централизованного горячего водоснабжения  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м</w:t>
            </w:r>
            <w:r w:rsidRPr="00950B10">
              <w:rPr>
                <w:color w:val="000000"/>
                <w:vertAlign w:val="superscript"/>
              </w:rPr>
              <w:t>3</w:t>
            </w:r>
            <w:r w:rsidRPr="00950B10">
              <w:rPr>
                <w:color w:val="000000"/>
              </w:rPr>
              <w:t xml:space="preserve"> / год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 1 чел.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120</w:t>
            </w:r>
          </w:p>
        </w:tc>
      </w:tr>
      <w:tr w:rsidR="003A71F7" w:rsidRPr="00950B10" w:rsidTr="0094269B"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2.</w:t>
            </w:r>
          </w:p>
        </w:tc>
        <w:tc>
          <w:tcPr>
            <w:tcW w:w="670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Природный газ, при горячем водоснабжении от газовых водонагревателей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м</w:t>
            </w:r>
            <w:r w:rsidRPr="00950B10">
              <w:rPr>
                <w:color w:val="000000"/>
                <w:vertAlign w:val="superscript"/>
              </w:rPr>
              <w:t>3</w:t>
            </w:r>
            <w:r w:rsidRPr="00950B10">
              <w:rPr>
                <w:color w:val="000000"/>
              </w:rPr>
              <w:t xml:space="preserve"> / год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 1 чел.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300</w:t>
            </w:r>
          </w:p>
        </w:tc>
      </w:tr>
      <w:tr w:rsidR="003A71F7" w:rsidRPr="00950B10" w:rsidTr="0094269B"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3.</w:t>
            </w:r>
          </w:p>
        </w:tc>
        <w:tc>
          <w:tcPr>
            <w:tcW w:w="6702" w:type="dxa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 xml:space="preserve">При отсутствии всяких видов горячего </w:t>
            </w:r>
            <w:r w:rsidRPr="00950B10">
              <w:rPr>
                <w:color w:val="000000"/>
              </w:rPr>
              <w:lastRenderedPageBreak/>
              <w:t>водоснабжения  (в сельской местности)</w:t>
            </w:r>
          </w:p>
        </w:tc>
        <w:tc>
          <w:tcPr>
            <w:tcW w:w="0" w:type="auto"/>
            <w:shd w:val="clear" w:color="auto" w:fill="auto"/>
          </w:tcPr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lastRenderedPageBreak/>
              <w:t>м</w:t>
            </w:r>
            <w:r w:rsidRPr="00950B10">
              <w:rPr>
                <w:color w:val="000000"/>
                <w:vertAlign w:val="superscript"/>
              </w:rPr>
              <w:t>3</w:t>
            </w:r>
            <w:r w:rsidRPr="00950B10">
              <w:rPr>
                <w:color w:val="000000"/>
              </w:rPr>
              <w:t xml:space="preserve"> / год </w:t>
            </w:r>
          </w:p>
          <w:p w:rsidR="003A71F7" w:rsidRPr="00950B10" w:rsidRDefault="003A71F7" w:rsidP="0094269B">
            <w:pPr>
              <w:adjustRightInd w:val="0"/>
              <w:rPr>
                <w:color w:val="000000"/>
              </w:rPr>
            </w:pPr>
            <w:r w:rsidRPr="00950B10">
              <w:rPr>
                <w:color w:val="000000"/>
              </w:rPr>
              <w:t>на 1 чел.</w:t>
            </w:r>
          </w:p>
        </w:tc>
        <w:tc>
          <w:tcPr>
            <w:tcW w:w="0" w:type="auto"/>
            <w:shd w:val="clear" w:color="auto" w:fill="auto"/>
          </w:tcPr>
          <w:p w:rsidR="003A71F7" w:rsidRPr="002E5467" w:rsidRDefault="003A71F7" w:rsidP="00240B71">
            <w:pPr>
              <w:pStyle w:val="aff9"/>
              <w:numPr>
                <w:ilvl w:val="3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E5467">
              <w:rPr>
                <w:rFonts w:ascii="Times New Roman" w:hAnsi="Times New Roman"/>
                <w:color w:val="000000"/>
                <w:lang w:eastAsia="ru-RU"/>
              </w:rPr>
              <w:t>20)</w:t>
            </w:r>
          </w:p>
        </w:tc>
      </w:tr>
    </w:tbl>
    <w:p w:rsidR="003A71F7" w:rsidRDefault="003A71F7" w:rsidP="003A71F7"/>
    <w:p w:rsidR="003A71F7" w:rsidRDefault="003A71F7" w:rsidP="003A71F7"/>
    <w:p w:rsidR="003A71F7" w:rsidRDefault="003A71F7" w:rsidP="003A71F7"/>
    <w:p w:rsidR="003A71F7" w:rsidRDefault="003A71F7" w:rsidP="003A71F7"/>
    <w:p w:rsidR="003A71F7" w:rsidRPr="003A71F7" w:rsidRDefault="003A71F7" w:rsidP="00240B71">
      <w:pPr>
        <w:pStyle w:val="aff9"/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12" w:name="_Toc414879708"/>
      <w:r w:rsidRPr="003A71F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Общественно-деловые зоны</w:t>
      </w:r>
      <w:bookmarkEnd w:id="12"/>
    </w:p>
    <w:p w:rsidR="003A71F7" w:rsidRPr="003A71F7" w:rsidRDefault="003A71F7" w:rsidP="00240B71">
      <w:pPr>
        <w:pStyle w:val="2"/>
        <w:keepNext w:val="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13" w:name="_Toc414879709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Общие положения</w:t>
      </w:r>
      <w:bookmarkEnd w:id="13"/>
    </w:p>
    <w:p w:rsidR="003A71F7" w:rsidRPr="002E5467" w:rsidRDefault="003A71F7" w:rsidP="003A71F7">
      <w:pPr>
        <w:ind w:firstLine="709"/>
        <w:jc w:val="both"/>
        <w:rPr>
          <w:color w:val="000000"/>
        </w:rPr>
      </w:pPr>
      <w:r w:rsidRPr="003A71F7">
        <w:rPr>
          <w:color w:val="000000"/>
        </w:rPr>
        <w:t>5.1. Общественно-деловые</w:t>
      </w:r>
      <w:r w:rsidRPr="002E5467">
        <w:rPr>
          <w:color w:val="000000"/>
        </w:rPr>
        <w:t xml:space="preserve"> зоны предназначены для размещения объектов здравоохранения, культуры, торговли, общественного питания, социального и коммунально-бытового назначения, объектов образования, административных, научно-исследовательских учреждений, культовых зданий, объектов делового, финансового назначения, стоянок автомобильного транспорта, иных объектов, связанных с обеспечением жизнедеятельности граждан.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общественно-деловых зонах могут размещаться жилые здания, гостиницы, подземные или многоэтажные автостоянки, коммунальные и производственные объекты, осуществляющие обслуживание населения, площадью не более 200 м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2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 встроенные или занимающие часть здания без производственной территории, экологически безопасные, объекты индустрии развлечений при отсутствии ограничений на их размещение.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Градостроительные регламенты конкретных общественно-деловых зон определяются правилами землепользования и застройки городского и сельских поселений Грибановского муниципального района.</w:t>
      </w:r>
    </w:p>
    <w:p w:rsidR="003A71F7" w:rsidRPr="002E5467" w:rsidRDefault="003A71F7" w:rsidP="00240B71">
      <w:pPr>
        <w:pStyle w:val="aff9"/>
        <w:numPr>
          <w:ilvl w:val="2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546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составу размещаемых в них объектов общественно-деловые зоны могут подразделяться на многофункциональные (общегородские или районные центры); зоны специализированной общественной застройки; зоны планируемого размещения объектов общественно-делового назначения.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Общегородской центр в пгт. Грибановский Грибановского городского поселения является административным центром Грибановского муниципального района и формирует общественный центр районного значения.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сельских поселениях формируется поселенческая общественно-деловая зона, являющаяся центром сельского поселения. В сельских населенных пунктах формируется общественно-деловая зона, дополняемая объектами повседневного обслуживания в жилой застройке.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Многофункциональные общественно-деловые зоны рационально решать как территории взаимосвязанных общественных пространств (главных улиц, площадей, пешеходных зон), формирующих в соответствии с размером и характером планировочной организации населенного пункта систему его центра.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составе многофункциональной зоны общегородского центра рационально выделять ядро общегородского центра как зону максимального сосредоточения общественных функций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Число, состав, размещение и площадь общественно-деловых зон принимаются с учетом величины населенного пункта, его роли в системе расселения и функционально-планировочной организации территории.</w:t>
      </w:r>
    </w:p>
    <w:p w:rsidR="003A71F7" w:rsidRPr="00950B10" w:rsidRDefault="003A71F7" w:rsidP="00240B71">
      <w:pPr>
        <w:pStyle w:val="aff9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Нормативные параметры застройки общественно-деловой зоны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пределах многофункциональной общественно-деловой зоны рекомендуется принимать долю участков общественной застройки - не менее 40%, озелененных территорий общего пользования - не менее 20%, жилой застройки - не более 25%. 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 xml:space="preserve">Плотность застройки кварталов территории многофункциональной зоны принимается в соответствии регламентами правил землепользования и застройки Грибановского муниципального района. 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пешеходного перехода из любой точки многофункциональной зоны до остановки массового пассажирского транспорта не должна, как правило, превышать 250 м.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before="240" w:after="0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Длина перехода из любой точки центра до ближайшей площадки временного пребывания автомобилей не должна, как правило, превышать 400 м.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Здания в общественно-деловой зоне следует размещать с отступом от красных линий.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общественно-деловой зоне в зависимости от ее размеров и планировочной организации формируется система взаимосвязанных общественных пространств (главные улицы, площади, пешеходные зоны), составляющая ядро общественного центра.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этом формируется единая пешеходная зона, обеспечивающая удобство подхода к зданиям центра, остановкам транспорта и озелененным рекреационным площадкам.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комплексного благоустройства общественно-деловых зон следует обеспечивать: открытость территорий для визуального восприятия, условия для беспрепятственного передвижения населения, максимальное сохранение исторически сложившейся планировочной структуры и масштабности застройки, достижение стилевого единства элементов благоустройства с окружающей застройкой.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Комплексное благоустройство участков специализированных зданий с закрытым или ограниченным режимом посещения (органы управления, учреждения здравоохранения и др.) следует проектировать в соответствии с заданием на проектирование и отраслевой спецификой.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проектировании транспортной инфраструктуры общественно-деловых зон следует предусматривать увязку с единой системой транспортной и улично-дорожной сети, обеспечивающую удобные, быстрые и безопасные транспортные связи со всеми функциональными зонами городского и сельских поселений Грибановского муниципального района.</w:t>
      </w:r>
    </w:p>
    <w:p w:rsidR="003A71F7" w:rsidRPr="00950B10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Минимальные расстояния между жилыми и общественными зданиями следует принимать на основе расчетов инсоляции и освещенности, учета противопожарных требований и санитарных разрывов.</w:t>
      </w:r>
    </w:p>
    <w:p w:rsidR="003A71F7" w:rsidRPr="003A71F7" w:rsidRDefault="003A71F7" w:rsidP="00240B71">
      <w:pPr>
        <w:pStyle w:val="aff9"/>
        <w:numPr>
          <w:ilvl w:val="2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Противопожарные расстояния между жилыми и общественными зданиями, </w:t>
      </w: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сооружениями должны обеспечивать нераспространение пожара на соседние здания, сооружения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14" w:name="_Toc414879710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Предельные значения расчетных показателей минимально допустимого уровня обеспеченности и предельные значения расчетных показателей максимально допустимого уровня территориальной доступности объектов общественного обслуживания местного значения</w:t>
      </w:r>
      <w:bookmarkEnd w:id="14"/>
    </w:p>
    <w:p w:rsidR="003A71F7" w:rsidRPr="003A71F7" w:rsidRDefault="003A71F7" w:rsidP="00240B71">
      <w:pPr>
        <w:pStyle w:val="3"/>
        <w:keepNext w:val="0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5" w:name="_Toc414879713"/>
      <w:r w:rsidRPr="003A71F7">
        <w:rPr>
          <w:rFonts w:ascii="Times New Roman" w:hAnsi="Times New Roman" w:cs="Times New Roman"/>
          <w:color w:val="000000"/>
          <w:sz w:val="24"/>
          <w:szCs w:val="24"/>
        </w:rPr>
        <w:t>Объекты культуры и спорта</w:t>
      </w:r>
      <w:bookmarkEnd w:id="15"/>
    </w:p>
    <w:p w:rsidR="003A71F7" w:rsidRPr="003A71F7" w:rsidRDefault="003A71F7" w:rsidP="003A71F7">
      <w:pPr>
        <w:pStyle w:val="3"/>
        <w:spacing w:before="0"/>
        <w:ind w:firstLine="567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16" w:name="_Toc414879714"/>
      <w:r w:rsidRPr="003A71F7">
        <w:rPr>
          <w:rFonts w:ascii="Times New Roman" w:hAnsi="Times New Roman" w:cs="Times New Roman"/>
          <w:b w:val="0"/>
          <w:color w:val="000000"/>
          <w:sz w:val="24"/>
          <w:szCs w:val="24"/>
        </w:rPr>
        <w:t>Минимально допустимый уровень обеспеченности объектами физической культуры и спорта</w:t>
      </w:r>
      <w:bookmarkEnd w:id="16"/>
    </w:p>
    <w:p w:rsidR="003A71F7" w:rsidRPr="00950B10" w:rsidRDefault="003A71F7" w:rsidP="003A71F7">
      <w:pPr>
        <w:jc w:val="right"/>
        <w:rPr>
          <w:color w:val="000000"/>
        </w:rPr>
      </w:pPr>
      <w:r>
        <w:rPr>
          <w:color w:val="000000"/>
        </w:rPr>
        <w:t>Таблица14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"/>
        <w:gridCol w:w="1888"/>
        <w:gridCol w:w="1760"/>
        <w:gridCol w:w="1744"/>
        <w:gridCol w:w="1276"/>
        <w:gridCol w:w="2375"/>
      </w:tblGrid>
      <w:tr w:rsidR="003A71F7" w:rsidRPr="00950B10" w:rsidTr="0094269B">
        <w:tc>
          <w:tcPr>
            <w:tcW w:w="528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88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760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020" w:type="dxa"/>
            <w:gridSpan w:val="2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2375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населённые пункты</w:t>
            </w:r>
          </w:p>
        </w:tc>
      </w:tr>
      <w:tr w:rsidR="003A71F7" w:rsidRPr="00950B10" w:rsidTr="0094269B">
        <w:tc>
          <w:tcPr>
            <w:tcW w:w="52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375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1F7" w:rsidRPr="00950B10" w:rsidTr="0094269B">
        <w:trPr>
          <w:trHeight w:val="565"/>
        </w:trPr>
        <w:tc>
          <w:tcPr>
            <w:tcW w:w="52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8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</w:t>
            </w:r>
          </w:p>
        </w:tc>
        <w:tc>
          <w:tcPr>
            <w:tcW w:w="176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площади пола на 1 тыс. чел.</w:t>
            </w:r>
          </w:p>
        </w:tc>
        <w:tc>
          <w:tcPr>
            <w:tcW w:w="174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60-80</w:t>
            </w: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60-80</w:t>
            </w:r>
          </w:p>
        </w:tc>
        <w:tc>
          <w:tcPr>
            <w:tcW w:w="23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60-80</w:t>
            </w:r>
          </w:p>
        </w:tc>
      </w:tr>
      <w:tr w:rsidR="003A71F7" w:rsidRPr="00950B10" w:rsidTr="0094269B">
        <w:trPr>
          <w:trHeight w:val="539"/>
        </w:trPr>
        <w:tc>
          <w:tcPr>
            <w:tcW w:w="52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8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176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зеркала воды на 1 тыс. чел.</w:t>
            </w:r>
          </w:p>
        </w:tc>
        <w:tc>
          <w:tcPr>
            <w:tcW w:w="174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3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3A71F7" w:rsidRPr="00950B10" w:rsidTr="0094269B">
        <w:tc>
          <w:tcPr>
            <w:tcW w:w="52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8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176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74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на группу населенных пунктов</w:t>
            </w:r>
          </w:p>
        </w:tc>
      </w:tr>
      <w:tr w:rsidR="003A71F7" w:rsidRPr="00950B10" w:rsidTr="0094269B">
        <w:tc>
          <w:tcPr>
            <w:tcW w:w="52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8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176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плоскостных сооружений на 1 тыс. чел.</w:t>
            </w:r>
          </w:p>
        </w:tc>
        <w:tc>
          <w:tcPr>
            <w:tcW w:w="174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23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19,5</w:t>
            </w:r>
          </w:p>
        </w:tc>
      </w:tr>
    </w:tbl>
    <w:p w:rsidR="003A71F7" w:rsidRPr="00950B10" w:rsidRDefault="003A71F7" w:rsidP="003A71F7">
      <w:pPr>
        <w:jc w:val="right"/>
        <w:rPr>
          <w:color w:val="000000"/>
        </w:rPr>
      </w:pPr>
    </w:p>
    <w:p w:rsidR="003A71F7" w:rsidRPr="00950B10" w:rsidRDefault="003A71F7" w:rsidP="003A71F7">
      <w:pPr>
        <w:jc w:val="both"/>
        <w:rPr>
          <w:color w:val="000000"/>
        </w:rPr>
      </w:pPr>
      <w:r w:rsidRPr="00950B10">
        <w:rPr>
          <w:color w:val="000000"/>
        </w:rPr>
        <w:t>Максимально допустимый уровень территориальной доступности объектов физической культуры и спорта</w:t>
      </w:r>
    </w:p>
    <w:p w:rsidR="003A71F7" w:rsidRPr="00950B10" w:rsidRDefault="003A71F7" w:rsidP="003A71F7">
      <w:pPr>
        <w:jc w:val="right"/>
        <w:rPr>
          <w:color w:val="000000"/>
        </w:rPr>
      </w:pPr>
      <w:r>
        <w:rPr>
          <w:color w:val="000000"/>
        </w:rPr>
        <w:t xml:space="preserve"> Таблица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2127"/>
        <w:gridCol w:w="3934"/>
      </w:tblGrid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м/мин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жилых районах городских населенных пунктов – 1500 м, объекты городского и районного значения - в пределах 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транспортной доступности 30 мин</w:t>
            </w: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2127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2127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2127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Нормативы размеров земельных участков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2551"/>
        <w:gridCol w:w="6061"/>
      </w:tblGrid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606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Спортивные комплексы</w:t>
            </w:r>
          </w:p>
        </w:tc>
        <w:tc>
          <w:tcPr>
            <w:tcW w:w="6061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Территория физкультурно-спортивных сооружений принимается из расчета 0,7-0,9 га на 1 тыс. чел.</w:t>
            </w: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Плавательные бассейны</w:t>
            </w:r>
          </w:p>
        </w:tc>
        <w:tc>
          <w:tcPr>
            <w:tcW w:w="6061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Стадионы</w:t>
            </w:r>
          </w:p>
        </w:tc>
        <w:tc>
          <w:tcPr>
            <w:tcW w:w="6061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95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Плоскостные сооружения</w:t>
            </w:r>
          </w:p>
        </w:tc>
        <w:tc>
          <w:tcPr>
            <w:tcW w:w="6061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71F7" w:rsidRPr="003A71F7" w:rsidRDefault="003A71F7" w:rsidP="003A71F7">
      <w:pPr>
        <w:pStyle w:val="3"/>
        <w:spacing w:before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A71F7" w:rsidRPr="003A71F7" w:rsidRDefault="003A71F7" w:rsidP="00240B71">
      <w:pPr>
        <w:pStyle w:val="3"/>
        <w:keepNext w:val="0"/>
        <w:numPr>
          <w:ilvl w:val="2"/>
          <w:numId w:val="5"/>
        </w:numPr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7" w:name="_Toc414879715"/>
      <w:r w:rsidRPr="003A71F7">
        <w:rPr>
          <w:rFonts w:ascii="Times New Roman" w:hAnsi="Times New Roman" w:cs="Times New Roman"/>
          <w:color w:val="000000"/>
          <w:sz w:val="24"/>
          <w:szCs w:val="24"/>
        </w:rPr>
        <w:t>Объекты культуры и искусства</w:t>
      </w:r>
      <w:bookmarkEnd w:id="17"/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Минимально допустимый уровень обеспеченности объектами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культуры и искусства 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7"/>
        <w:gridCol w:w="2302"/>
        <w:gridCol w:w="1509"/>
        <w:gridCol w:w="2282"/>
        <w:gridCol w:w="1903"/>
        <w:gridCol w:w="1713"/>
      </w:tblGrid>
      <w:tr w:rsidR="003A71F7" w:rsidRPr="00950B10" w:rsidTr="0094269B">
        <w:tc>
          <w:tcPr>
            <w:tcW w:w="285" w:type="pct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18" w:type="pct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733" w:type="pct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032" w:type="pct"/>
            <w:gridSpan w:val="2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населённые пункты</w:t>
            </w:r>
          </w:p>
        </w:tc>
      </w:tr>
      <w:tr w:rsidR="003A71F7" w:rsidRPr="00950B10" w:rsidTr="0094269B">
        <w:tc>
          <w:tcPr>
            <w:tcW w:w="285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924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832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1F7" w:rsidRPr="00950B10" w:rsidTr="0094269B">
        <w:tc>
          <w:tcPr>
            <w:tcW w:w="285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1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библиотеки</w:t>
            </w:r>
          </w:p>
        </w:tc>
        <w:tc>
          <w:tcPr>
            <w:tcW w:w="733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0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на 10 тыс. жит., 1 на 5,5 тыс. детей, 1 на 17 тыс. жит. 15-24 лет</w:t>
            </w:r>
          </w:p>
        </w:tc>
        <w:tc>
          <w:tcPr>
            <w:tcW w:w="924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(универсальная и детск.)</w:t>
            </w:r>
          </w:p>
        </w:tc>
        <w:tc>
          <w:tcPr>
            <w:tcW w:w="832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1**</w:t>
            </w:r>
          </w:p>
        </w:tc>
      </w:tr>
      <w:tr w:rsidR="003A71F7" w:rsidRPr="00950B10" w:rsidTr="0094269B">
        <w:tc>
          <w:tcPr>
            <w:tcW w:w="285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1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музеи</w:t>
            </w:r>
          </w:p>
        </w:tc>
        <w:tc>
          <w:tcPr>
            <w:tcW w:w="733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0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на 25 тыс. человек</w:t>
            </w:r>
          </w:p>
        </w:tc>
        <w:tc>
          <w:tcPr>
            <w:tcW w:w="924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на 5-10 тыс. чел.***</w:t>
            </w:r>
          </w:p>
        </w:tc>
      </w:tr>
      <w:tr w:rsidR="003A71F7" w:rsidRPr="00950B10" w:rsidTr="0094269B">
        <w:tc>
          <w:tcPr>
            <w:tcW w:w="285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1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архивы</w:t>
            </w:r>
          </w:p>
        </w:tc>
        <w:tc>
          <w:tcPr>
            <w:tcW w:w="733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110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4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2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(на район)</w:t>
            </w:r>
          </w:p>
        </w:tc>
      </w:tr>
      <w:tr w:rsidR="003A71F7" w:rsidRPr="00950B10" w:rsidTr="0094269B">
        <w:tc>
          <w:tcPr>
            <w:tcW w:w="285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1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733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Зрительские места</w:t>
            </w:r>
          </w:p>
        </w:tc>
        <w:tc>
          <w:tcPr>
            <w:tcW w:w="1108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на 1 тыс. жителей</w:t>
            </w:r>
          </w:p>
        </w:tc>
        <w:tc>
          <w:tcPr>
            <w:tcW w:w="924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на 1 тыс. жит.</w:t>
            </w:r>
          </w:p>
        </w:tc>
        <w:tc>
          <w:tcPr>
            <w:tcW w:w="832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(на район)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 - для населенного пункта до 500 человек - библиотечный пункт (отдел нестационарного обслуживания) поселенческой библиотеки, передвижная библиотека; более 500 человек – филиал поселенческой библиотеки или общедоступная поселенческая библиотека.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*** - из расчета на муниципальный район и крупные сельские поселения, в сельском поселении может быть организован музей с филиалами в населенных пунктах с численностью населения до 1 тыс. человек.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допустимый уровень территориальной доступности объектов культуры и искусства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119"/>
        <w:gridCol w:w="1843"/>
        <w:gridCol w:w="3934"/>
      </w:tblGrid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843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3A71F7" w:rsidRPr="00950B10" w:rsidTr="0094269B">
        <w:tc>
          <w:tcPr>
            <w:tcW w:w="675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библиотеки</w:t>
            </w:r>
          </w:p>
        </w:tc>
        <w:tc>
          <w:tcPr>
            <w:tcW w:w="1843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800 - в городских населенных пунктах</w:t>
            </w:r>
          </w:p>
        </w:tc>
      </w:tr>
      <w:tr w:rsidR="003A71F7" w:rsidRPr="00950B10" w:rsidTr="0094269B">
        <w:tc>
          <w:tcPr>
            <w:tcW w:w="675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– пешеходно-транспортная доступность в сельских населенных пунктах</w:t>
            </w: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музеи</w:t>
            </w:r>
          </w:p>
        </w:tc>
        <w:tc>
          <w:tcPr>
            <w:tcW w:w="5777" w:type="dxa"/>
            <w:gridSpan w:val="2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архивы</w:t>
            </w:r>
          </w:p>
        </w:tc>
        <w:tc>
          <w:tcPr>
            <w:tcW w:w="5777" w:type="dxa"/>
            <w:gridSpan w:val="2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675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1843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800 - в городских населенных пунктах</w:t>
            </w:r>
          </w:p>
        </w:tc>
      </w:tr>
      <w:tr w:rsidR="003A71F7" w:rsidRPr="00950B10" w:rsidTr="0094269B">
        <w:tc>
          <w:tcPr>
            <w:tcW w:w="675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 – пешеходно-транспортная доступность в сельских населенных пунктах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Нормативы размеров земельных участков 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Таблица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9"/>
        <w:gridCol w:w="3966"/>
        <w:gridCol w:w="5451"/>
      </w:tblGrid>
      <w:tr w:rsidR="003A71F7" w:rsidRPr="00950B10" w:rsidTr="0094269B">
        <w:tc>
          <w:tcPr>
            <w:tcW w:w="42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26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264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земельного участка</w:t>
            </w:r>
          </w:p>
        </w:tc>
      </w:tr>
      <w:tr w:rsidR="003A71F7" w:rsidRPr="00950B10" w:rsidTr="0094269B">
        <w:tc>
          <w:tcPr>
            <w:tcW w:w="42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26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библиотеки</w:t>
            </w:r>
          </w:p>
        </w:tc>
        <w:tc>
          <w:tcPr>
            <w:tcW w:w="2647" w:type="pct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земельного участка устанавливается заданием на проектирование</w:t>
            </w:r>
          </w:p>
        </w:tc>
      </w:tr>
      <w:tr w:rsidR="003A71F7" w:rsidRPr="00950B10" w:rsidTr="0094269B">
        <w:tc>
          <w:tcPr>
            <w:tcW w:w="42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26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музеи</w:t>
            </w:r>
          </w:p>
        </w:tc>
        <w:tc>
          <w:tcPr>
            <w:tcW w:w="2647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42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26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Муниципальные архивы</w:t>
            </w:r>
          </w:p>
        </w:tc>
        <w:tc>
          <w:tcPr>
            <w:tcW w:w="2647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427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26" w:type="pc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культурно-досугового типа</w:t>
            </w:r>
          </w:p>
        </w:tc>
        <w:tc>
          <w:tcPr>
            <w:tcW w:w="2647" w:type="pct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71F7" w:rsidRPr="003A71F7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Примечание. Рекомендуется формировать единые комплексы для организации культурно-массовой и физкультурно-оздоровительной деятельности.</w:t>
      </w:r>
    </w:p>
    <w:p w:rsidR="003A71F7" w:rsidRPr="003A71F7" w:rsidRDefault="003A71F7" w:rsidP="00240B71">
      <w:pPr>
        <w:pStyle w:val="3"/>
        <w:keepNext w:val="0"/>
        <w:numPr>
          <w:ilvl w:val="2"/>
          <w:numId w:val="5"/>
        </w:numPr>
        <w:spacing w:before="0" w:after="0"/>
        <w:ind w:left="0" w:firstLine="567"/>
        <w:rPr>
          <w:rFonts w:ascii="Times New Roman" w:hAnsi="Times New Roman" w:cs="Times New Roman"/>
          <w:color w:val="000000"/>
          <w:sz w:val="24"/>
          <w:szCs w:val="24"/>
        </w:rPr>
      </w:pPr>
      <w:bookmarkStart w:id="18" w:name="_Toc414879716"/>
      <w:r w:rsidRPr="003A71F7">
        <w:rPr>
          <w:rFonts w:ascii="Times New Roman" w:hAnsi="Times New Roman" w:cs="Times New Roman"/>
          <w:color w:val="000000"/>
          <w:sz w:val="24"/>
          <w:szCs w:val="24"/>
        </w:rPr>
        <w:t>Объекты образования</w:t>
      </w:r>
      <w:bookmarkEnd w:id="18"/>
    </w:p>
    <w:p w:rsidR="003A71F7" w:rsidRPr="003A71F7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Минимально допустимый уровень обеспеченности объектами образования</w:t>
      </w:r>
    </w:p>
    <w:p w:rsidR="003A71F7" w:rsidRPr="00950B10" w:rsidRDefault="003A71F7" w:rsidP="003A71F7">
      <w:pPr>
        <w:jc w:val="right"/>
        <w:rPr>
          <w:color w:val="000000"/>
        </w:rPr>
      </w:pPr>
      <w:r w:rsidRPr="00950B10">
        <w:rPr>
          <w:color w:val="000000"/>
        </w:rPr>
        <w:t xml:space="preserve">Таблица </w:t>
      </w:r>
      <w:r>
        <w:rPr>
          <w:color w:val="000000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566"/>
        <w:gridCol w:w="2126"/>
        <w:gridCol w:w="1276"/>
        <w:gridCol w:w="992"/>
        <w:gridCol w:w="2092"/>
      </w:tblGrid>
      <w:tr w:rsidR="003A71F7" w:rsidRPr="00950B10" w:rsidTr="0094269B">
        <w:tc>
          <w:tcPr>
            <w:tcW w:w="519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566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Населённые пункты</w:t>
            </w:r>
          </w:p>
        </w:tc>
        <w:tc>
          <w:tcPr>
            <w:tcW w:w="2092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Сельские населённые пункты</w:t>
            </w:r>
          </w:p>
        </w:tc>
      </w:tr>
      <w:tr w:rsidR="003A71F7" w:rsidRPr="00950B10" w:rsidTr="0094269B">
        <w:tc>
          <w:tcPr>
            <w:tcW w:w="519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6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Средние</w:t>
            </w:r>
          </w:p>
        </w:tc>
        <w:tc>
          <w:tcPr>
            <w:tcW w:w="9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Малые</w:t>
            </w:r>
          </w:p>
        </w:tc>
        <w:tc>
          <w:tcPr>
            <w:tcW w:w="2092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A71F7" w:rsidRPr="00950B10" w:rsidTr="0094269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Дошкольные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 на 1 тыс.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40*</w:t>
            </w:r>
          </w:p>
        </w:tc>
      </w:tr>
      <w:tr w:rsidR="003A71F7" w:rsidRPr="00950B10" w:rsidTr="0094269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Учащихся на 1 тыс.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90*</w:t>
            </w:r>
          </w:p>
        </w:tc>
      </w:tr>
      <w:tr w:rsidR="003A71F7" w:rsidRPr="00950B10" w:rsidTr="0094269B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 для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 на 1 тыс.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9*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* - Устанавливается в зависимости от демографической структуры муниципального образования, принимая расчетный уровень обеспеченности:</w:t>
      </w:r>
    </w:p>
    <w:p w:rsidR="003A71F7" w:rsidRPr="00950B10" w:rsidRDefault="003A71F7" w:rsidP="00240B71">
      <w:pPr>
        <w:pStyle w:val="aff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дошкольными учреждениями - в пределах 85% детей, в том числе общего типа - 70%, специализированного - 3%, оздоровительного - 12%;</w:t>
      </w:r>
    </w:p>
    <w:p w:rsidR="003A71F7" w:rsidRPr="00950B10" w:rsidRDefault="003A71F7" w:rsidP="00240B71">
      <w:pPr>
        <w:pStyle w:val="aff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школами - с учетом 100%-ного охвата детей неполным средним образованием (I-IX классы) и до 75% детей - средним образованием (X-XI классы) при обучении в одну смену в средних, малых городах и сельских населенных пунктах;</w:t>
      </w:r>
    </w:p>
    <w:p w:rsidR="003A71F7" w:rsidRPr="00950B10" w:rsidRDefault="003A71F7" w:rsidP="00240B71">
      <w:pPr>
        <w:pStyle w:val="aff9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внешкольными учреждениями 10% общего числа школьников, в том числе по видам зданий: Дворец (Дом) творчества школьников - 3,3%; станция юных техников - 0,9%, станция юных натуралистов - 0,4%; станция юных туристов - 0,4%; детско-юношеская спортивная школа - 2,3%; детская школа искусств или музыкальная, художественная, хореографическая школа - 2,7%.</w:t>
      </w:r>
    </w:p>
    <w:p w:rsidR="003A71F7" w:rsidRPr="00BE5383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strike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Вместимость вновь строящихся общеобразовательных школ в городских населенных пунктах не должна превышать 1 тыс. учащихся. 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Вместимость вновь строящихся дошкольных образовательных учреждений не должна превышать 350 мест; вместимость дошкольных образовательных учреждений, пристроенных к торцам жилых домов и встроенных в жилые дома, - не более 150 мест. Вместимость дошкольных образовательных учреждений для сельских населенных мест не должна превышать 140 мест.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допустимый уровень территориальной доступности объектов образования</w:t>
      </w:r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3731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268"/>
        <w:gridCol w:w="1134"/>
        <w:gridCol w:w="5634"/>
      </w:tblGrid>
      <w:tr w:rsidR="003A71F7" w:rsidRPr="00950B10" w:rsidTr="0094269B"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1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6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3A71F7" w:rsidRPr="00950B10" w:rsidTr="0094269B">
        <w:trPr>
          <w:trHeight w:val="793"/>
        </w:trPr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Дошкольные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образовательные учреждения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городских населенных пунктах: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многоэтажной застройке – 300, 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малоэтажной застройке – 500;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сельских населенных пунктах – 500*</w:t>
            </w:r>
          </w:p>
        </w:tc>
      </w:tr>
      <w:tr w:rsidR="003A71F7" w:rsidRPr="00950B10" w:rsidTr="0094269B">
        <w:tc>
          <w:tcPr>
            <w:tcW w:w="534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Общеобразовательные учреждения</w:t>
            </w:r>
          </w:p>
        </w:tc>
        <w:tc>
          <w:tcPr>
            <w:tcW w:w="11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56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городских населенных пунктах – 750 (для начальных классов – 500)</w:t>
            </w:r>
          </w:p>
        </w:tc>
      </w:tr>
      <w:tr w:rsidR="003A71F7" w:rsidRPr="00950B10" w:rsidTr="0094269B">
        <w:tc>
          <w:tcPr>
            <w:tcW w:w="5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сельской местности на расстоянии транспортной доступности: 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для учащихся I ступени обучения - 15 мин (в одну сторону), 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учащихся II-III ступеней - не более 50 мин (в одну сторону)**</w:t>
            </w:r>
          </w:p>
        </w:tc>
      </w:tr>
      <w:tr w:rsidR="003A71F7" w:rsidRPr="00950B10" w:rsidTr="0094269B">
        <w:trPr>
          <w:trHeight w:val="539"/>
        </w:trPr>
        <w:tc>
          <w:tcPr>
            <w:tcW w:w="5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Учреждения дополнительного образования для детей</w:t>
            </w:r>
          </w:p>
        </w:tc>
        <w:tc>
          <w:tcPr>
            <w:tcW w:w="11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мин</w:t>
            </w:r>
          </w:p>
        </w:tc>
        <w:tc>
          <w:tcPr>
            <w:tcW w:w="56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городских населенных пунктах на расстоянии транспортной доступности не более 30 мин</w:t>
            </w:r>
          </w:p>
        </w:tc>
      </w:tr>
    </w:tbl>
    <w:p w:rsidR="003A71F7" w:rsidRPr="003A71F7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*- Указанный радиус обслуживания не распространяется на специализированные и </w:t>
      </w: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оздоровительные детские дошкольные учреждения, а также на специальные детские ясли-сады общего типа и общеобразовательные школы (языковые, математические, спортивные и т.п.).</w:t>
      </w:r>
    </w:p>
    <w:p w:rsidR="003A71F7" w:rsidRPr="003A71F7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** - Предельный радиус обслуживания обучающихся II-III ступеней не должен превышать 15 км. Транспортному обслуживанию подлежат учащиеся сельских общеобразовательных учреждений, проживающие на расстоянии свыше 1 км от учреждения.</w:t>
      </w:r>
    </w:p>
    <w:p w:rsidR="003A71F7" w:rsidRPr="003A71F7" w:rsidRDefault="003A71F7" w:rsidP="00240B71">
      <w:pPr>
        <w:pStyle w:val="3"/>
        <w:keepNext w:val="0"/>
        <w:numPr>
          <w:ilvl w:val="2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9" w:name="_Toc414879717"/>
      <w:r w:rsidRPr="003A71F7">
        <w:rPr>
          <w:rFonts w:ascii="Times New Roman" w:hAnsi="Times New Roman" w:cs="Times New Roman"/>
          <w:color w:val="000000"/>
          <w:sz w:val="24"/>
          <w:szCs w:val="24"/>
        </w:rPr>
        <w:t>Объекты услуг связи, общественного питания, торговли и бытового обслуживания населения</w:t>
      </w:r>
      <w:bookmarkEnd w:id="19"/>
    </w:p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A71F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Максимально допустимый уровень</w:t>
      </w: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территориальной доступности объектов услуг связи, общественного питания, торговли и бытового обслуживания населения</w:t>
      </w:r>
    </w:p>
    <w:p w:rsidR="003A71F7" w:rsidRPr="00950B10" w:rsidRDefault="003A71F7" w:rsidP="003A71F7">
      <w:pPr>
        <w:jc w:val="right"/>
        <w:rPr>
          <w:color w:val="000000"/>
        </w:rPr>
      </w:pPr>
      <w:r w:rsidRPr="00F3731C">
        <w:rPr>
          <w:color w:val="000000"/>
        </w:rPr>
        <w:t>Таблица</w:t>
      </w:r>
      <w:r w:rsidRPr="00BE5383">
        <w:rPr>
          <w:color w:val="000000"/>
          <w:highlight w:val="yellow"/>
        </w:rPr>
        <w:t xml:space="preserve"> </w:t>
      </w:r>
      <w:r>
        <w:rPr>
          <w:color w:val="000000"/>
        </w:rPr>
        <w:t>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2"/>
        <w:gridCol w:w="2127"/>
        <w:gridCol w:w="3934"/>
      </w:tblGrid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№ п/п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Величина</w:t>
            </w: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торговли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сельских населенных пунктах –2000,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городских населенных пунктах: 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при малоэтажной застройке – 800, 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многоэтажной - 500</w:t>
            </w: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(в жилых кварталах)</w:t>
            </w: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Отделение банка, операционная касса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3934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(в жилых кварталах)</w:t>
            </w:r>
          </w:p>
        </w:tc>
      </w:tr>
      <w:tr w:rsidR="003A71F7" w:rsidRPr="00950B10" w:rsidTr="0094269B">
        <w:tc>
          <w:tcPr>
            <w:tcW w:w="817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69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6061" w:type="dxa"/>
            <w:gridSpan w:val="2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 нормируется</w:t>
            </w:r>
          </w:p>
        </w:tc>
      </w:tr>
    </w:tbl>
    <w:p w:rsidR="003A71F7" w:rsidRPr="00950B10" w:rsidRDefault="003A71F7" w:rsidP="003A71F7">
      <w:pPr>
        <w:pStyle w:val="aff9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B1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Нормативы размеров земельных участков</w:t>
      </w:r>
    </w:p>
    <w:p w:rsidR="003A71F7" w:rsidRPr="00950B10" w:rsidRDefault="003A71F7" w:rsidP="003A71F7">
      <w:pPr>
        <w:jc w:val="right"/>
        <w:rPr>
          <w:color w:val="000000"/>
        </w:rPr>
      </w:pPr>
      <w:r w:rsidRPr="00F3731C">
        <w:rPr>
          <w:color w:val="000000"/>
        </w:rPr>
        <w:t>Таблица 2</w:t>
      </w:r>
      <w:r>
        <w:rPr>
          <w:color w:val="000000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552"/>
        <w:gridCol w:w="4536"/>
        <w:gridCol w:w="1808"/>
      </w:tblGrid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 земельного участка</w:t>
            </w:r>
          </w:p>
        </w:tc>
        <w:tc>
          <w:tcPr>
            <w:tcW w:w="180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Примечания</w:t>
            </w: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торговли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вместимости,            га на 100 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т.п.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торг. площади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250                               0,08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 – 400                      0,06 – 0,04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 – 600                            0,02</w:t>
            </w:r>
          </w:p>
        </w:tc>
        <w:tc>
          <w:tcPr>
            <w:tcW w:w="1808" w:type="dxa"/>
            <w:vMerge w:val="restart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Возможно встроенно-пристроенное размещение</w:t>
            </w: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общественного питания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вместимости, га на 100 мест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 50                  0,2 –0,25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– 150             0,2 – 0,15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более 150                0,1</w:t>
            </w:r>
          </w:p>
        </w:tc>
        <w:tc>
          <w:tcPr>
            <w:tcW w:w="180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Предприятия бытового обслуживания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вместимости, га на 10 раб. мест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раб. мест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– 50               0,1 – 0,2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 – 150           0,05 – 0,08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более 150         0,03 – 0,04</w:t>
            </w:r>
          </w:p>
        </w:tc>
        <w:tc>
          <w:tcPr>
            <w:tcW w:w="180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Отделения связи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 га на объект</w:t>
            </w:r>
          </w:p>
        </w:tc>
        <w:tc>
          <w:tcPr>
            <w:tcW w:w="180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Отделение банка, операционная касса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 га на объект</w:t>
            </w:r>
          </w:p>
        </w:tc>
        <w:tc>
          <w:tcPr>
            <w:tcW w:w="1808" w:type="dxa"/>
            <w:vMerge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71F7" w:rsidRPr="00950B10" w:rsidTr="0094269B">
        <w:tc>
          <w:tcPr>
            <w:tcW w:w="67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Гостиницы</w:t>
            </w:r>
          </w:p>
        </w:tc>
        <w:tc>
          <w:tcPr>
            <w:tcW w:w="453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 вместимости, м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 1 место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 – 100                  55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 – 500                30</w:t>
            </w:r>
          </w:p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 – 1000              20</w:t>
            </w:r>
          </w:p>
          <w:p w:rsidR="003A71F7" w:rsidRPr="00950B10" w:rsidRDefault="003A71F7" w:rsidP="00240B71">
            <w:pPr>
              <w:pStyle w:val="aff9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– 2000            15</w:t>
            </w:r>
          </w:p>
        </w:tc>
        <w:tc>
          <w:tcPr>
            <w:tcW w:w="1808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A71F7" w:rsidRPr="003A71F7" w:rsidRDefault="003A71F7" w:rsidP="00240B71">
      <w:pPr>
        <w:pStyle w:val="1"/>
        <w:numPr>
          <w:ilvl w:val="0"/>
          <w:numId w:val="5"/>
        </w:numPr>
        <w:rPr>
          <w:bCs/>
          <w:color w:val="000000"/>
          <w:sz w:val="24"/>
        </w:rPr>
      </w:pPr>
      <w:bookmarkStart w:id="20" w:name="_Toc414879729"/>
      <w:r w:rsidRPr="003A71F7">
        <w:rPr>
          <w:bCs/>
          <w:color w:val="000000"/>
          <w:sz w:val="24"/>
        </w:rPr>
        <w:t>Зоны сельскохозяйственного использования</w:t>
      </w:r>
      <w:bookmarkEnd w:id="20"/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1" w:name="_Toc414879730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Общие положения</w:t>
      </w:r>
      <w:bookmarkEnd w:id="21"/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3A71F7">
        <w:rPr>
          <w:bCs/>
          <w:color w:val="000000"/>
        </w:rPr>
        <w:t>В состав зон сельскохозяйственного использования могут включаться: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3A71F7">
        <w:rPr>
          <w:color w:val="000000"/>
        </w:rPr>
        <w:t>зоны сельскохозяйственных</w:t>
      </w:r>
      <w:r w:rsidRPr="00950B10">
        <w:rPr>
          <w:color w:val="000000"/>
        </w:rPr>
        <w:t xml:space="preserve"> угодий (пашни, сенокосы, пастбища, залежи, земли, занятые многолетними насаждениями),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зоны, 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сельскохозяйственного назначения.</w:t>
      </w:r>
    </w:p>
    <w:p w:rsidR="003A71F7" w:rsidRPr="00950B10" w:rsidRDefault="003A71F7" w:rsidP="003A71F7">
      <w:pPr>
        <w:ind w:firstLine="708"/>
        <w:contextualSpacing/>
        <w:jc w:val="both"/>
        <w:rPr>
          <w:color w:val="000000"/>
        </w:rPr>
      </w:pPr>
      <w:r w:rsidRPr="00950B10">
        <w:rPr>
          <w:bCs/>
          <w:color w:val="000000"/>
        </w:rPr>
        <w:t>Зоны сельскохозяйственного использования могут формироваться в границах и за границами населенных пунктов.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Использование территорий в пределах зон сельскохозяйственного использования, устанавливаемых в границах населенных пунктов, осуществляется в соответствии с видами разрешенного использования, установленными в правилах землепользования и застройки территории.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За границами населенных пунктов зоны сельскохозяйственного использования формируются на землях сельскохозяйственного назначения, предоставленных для нужд сельского хозяйства, а также предназначенных для этих целей.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Границы земель сельскохозяйственного назначения и сельскохозяйственных угодий в их составе обосновываются в схеме территориального планирования Грибановского муниципального района. 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lastRenderedPageBreak/>
        <w:t xml:space="preserve">Перевод сельскохозяйственных угодий в другую категорию земель с целью их предоставления для иных нужд допускается в исключительных случаях, с обязательным соблюдением государственных и общественных интересов в области градостроительной </w:t>
      </w:r>
      <w:r w:rsidRPr="003A71F7">
        <w:rPr>
          <w:bCs/>
          <w:color w:val="000000"/>
        </w:rPr>
        <w:t xml:space="preserve">деятельности в порядке, предусмотренном федеральным законодательством. 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2" w:name="_Toc414879731"/>
      <w:r w:rsidRPr="003A71F7">
        <w:rPr>
          <w:rFonts w:ascii="Times New Roman" w:hAnsi="Times New Roman" w:cs="Times New Roman"/>
          <w:i w:val="0"/>
          <w:color w:val="000000"/>
          <w:sz w:val="24"/>
          <w:szCs w:val="24"/>
        </w:rPr>
        <w:t>Зоны, предназначенные для ведения садоводства, огородничества, дачного хозяйства</w:t>
      </w:r>
      <w:bookmarkEnd w:id="22"/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3A71F7">
        <w:rPr>
          <w:bCs/>
          <w:color w:val="000000"/>
        </w:rPr>
        <w:t>Участки садоводческих, огороднических и дачных объединений граждан следует размещать с учетом перспективного развития поселений за пределами резервных территорий, предусматриваемых для индивидуального жилищного строительства, на расстоянии доступности на общественном транспорте от мест проживания, как правило, не более 1,5 ч.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3A71F7">
        <w:rPr>
          <w:bCs/>
          <w:color w:val="000000"/>
        </w:rPr>
        <w:t>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3A71F7" w:rsidRPr="003A71F7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3A71F7">
        <w:rPr>
          <w:color w:val="000000"/>
        </w:rPr>
        <w:t>в санитарно-защитных зонах промышленных объектов, производств и сооружений;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3A71F7">
        <w:rPr>
          <w:color w:val="000000"/>
        </w:rPr>
        <w:t>на особо охраняемых</w:t>
      </w:r>
      <w:r w:rsidRPr="00950B10">
        <w:rPr>
          <w:color w:val="000000"/>
        </w:rPr>
        <w:t xml:space="preserve"> природных территориях;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на территориях с зарегистрированными залежами полезных ископаемых;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на особо ценных сельскохозяйственных угодьях;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на резервных территориях для развития населенных пунктов в пределах городского округа, поселения;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50 м, от автодорог IV категории - не менее 25 м с размещением в ней лесополосы шириной не менее 10 м.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При пересечении территории садоводческого, огороднического, дачного объединения инженерными коммуникациями надлежит предусматривать санитарно-защитные зоны.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Расстояние от застройки на территории садоводческого, огороднического, дачного объединения до лесных массивов должно быть не менее 15 м.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Противопожарные расстояния между зданиями, сооружениями на территории садоводческих, огороднических и дачных объединений должны обеспечивать нераспространение пожара на соседние здания, сооружения в соответствии с требованиями Федерального закона от 22.07.2008 № 123-ФЗ «Технический регламент о требованиях пожарной безопасности».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42-128-4690-88. 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На территории садоводческих, огороднических и дачных объединений и за ее пределами запрещается организация свалок отходов. Бытовые отходы, как правило, должны </w:t>
      </w:r>
      <w:r w:rsidRPr="003A71F7">
        <w:rPr>
          <w:bCs/>
          <w:color w:val="000000"/>
        </w:rPr>
        <w:t>утилизироваться на индивидуальных участках. Для неутилизируемых отходов (стекло, металл, полиэтилен и др.) на территории общего пользования должны быть предусмотрены площадки контейнеров для мусора. Площадки для мусорных контейнеров размещаются на расстоянии не менее 20 и не более 100 м от границ садовых участков.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i w:val="0"/>
          <w:color w:val="000000"/>
          <w:sz w:val="24"/>
          <w:szCs w:val="24"/>
        </w:rPr>
      </w:pPr>
      <w:bookmarkStart w:id="23" w:name="_Toc414879732"/>
      <w:r w:rsidRPr="003A71F7">
        <w:rPr>
          <w:rFonts w:ascii="Times New Roman" w:hAnsi="Times New Roman" w:cs="Times New Roman"/>
          <w:i w:val="0"/>
          <w:color w:val="000000"/>
          <w:sz w:val="24"/>
          <w:szCs w:val="24"/>
        </w:rPr>
        <w:t>Зоны, предназначенные для ведения личного подсобного, фермерского хозяйства</w:t>
      </w:r>
      <w:bookmarkEnd w:id="23"/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3A71F7">
        <w:rPr>
          <w:bCs/>
          <w:color w:val="000000"/>
        </w:rPr>
        <w:t>Личное подсобное хозяйство – форма непредпринимательской деятельности граждан по производству и переработке</w:t>
      </w:r>
      <w:r w:rsidRPr="00950B10">
        <w:rPr>
          <w:bCs/>
          <w:color w:val="000000"/>
        </w:rPr>
        <w:t xml:space="preserve"> сельскохозяйственной продукции.</w:t>
      </w:r>
    </w:p>
    <w:p w:rsidR="003A71F7" w:rsidRPr="00950B10" w:rsidRDefault="003A71F7" w:rsidP="003A71F7">
      <w:pPr>
        <w:ind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lastRenderedPageBreak/>
        <w:t>Для ведения личного подсобного хозяйства могут использоваться земельный участок в границах населенных пунктов (приусадебный земельный участок) и земельный участок за границами населенных пунктов (полевой земельный участок).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>Ведение гражданами личного подсобного хозяйства осуществляется в соответствии с требованиями Федерального закона от 07.07.2003 № 112-ФЗ «О личном подсобном хозяйстве» с учетом положений раздела 3  настоящих МНГП.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950B10">
        <w:rPr>
          <w:bCs/>
          <w:color w:val="000000"/>
        </w:rPr>
        <w:t xml:space="preserve">Земельные участки для строительства зданий, строений и сооружений, необходимых для осуществления деятельности крестьянского (фермерского) хозяйства, формируются из земель сельскохозяйственного назначения и земель иных категорий в </w:t>
      </w:r>
      <w:r w:rsidRPr="003A71F7">
        <w:rPr>
          <w:bCs/>
          <w:color w:val="000000"/>
        </w:rPr>
        <w:t>соответствии с земельным законодательством Российской Федерации и Воронежской области.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jc w:val="both"/>
        <w:rPr>
          <w:bCs/>
          <w:color w:val="000000"/>
        </w:rPr>
      </w:pPr>
      <w:r w:rsidRPr="003A71F7">
        <w:rPr>
          <w:bCs/>
          <w:color w:val="000000"/>
        </w:rPr>
        <w:t>При проектировании крестьянских (фермерских) хозяйств следует руководствоваться нормативными требованиями СП 19.13330.2011.</w:t>
      </w:r>
    </w:p>
    <w:p w:rsidR="003A71F7" w:rsidRPr="003A71F7" w:rsidRDefault="003A71F7" w:rsidP="00240B71">
      <w:pPr>
        <w:pStyle w:val="2"/>
        <w:keepNext w:val="0"/>
        <w:numPr>
          <w:ilvl w:val="0"/>
          <w:numId w:val="5"/>
        </w:numPr>
        <w:spacing w:before="0" w:after="0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4" w:name="_Toc406701177"/>
      <w:bookmarkStart w:id="25" w:name="_Toc414879760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Регулирование микроклимата</w:t>
      </w:r>
      <w:bookmarkEnd w:id="24"/>
      <w:bookmarkEnd w:id="25"/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3A71F7">
        <w:rPr>
          <w:color w:val="000000"/>
        </w:rPr>
        <w:t>Взаиморасположение и ориентация жилых и общественных зданий регулируется действующими санитарными нормами (СанПиН 2.2.1/2.1.1.1076-01), согласно которым для зоны, расположенной южнее 58° нормируемая продолжительность инсоляции помещений составляет не менее 2,0 часов в день на</w:t>
      </w:r>
      <w:r w:rsidRPr="00950B10">
        <w:rPr>
          <w:color w:val="000000"/>
        </w:rPr>
        <w:t xml:space="preserve"> период с 22 марта по 22 сентября.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Нормируемая продолжительность инсоляции обязательна:</w:t>
      </w:r>
    </w:p>
    <w:p w:rsidR="003A71F7" w:rsidRPr="00950B10" w:rsidRDefault="003A71F7" w:rsidP="00240B7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950B10">
        <w:rPr>
          <w:color w:val="000000"/>
        </w:rPr>
        <w:t>в жилых зданиях: не менее, чем в одной комнате 1-3-х комнатных квартир; не менее, чем в двух комнатах 4-х и более комнатных квартир;</w:t>
      </w:r>
    </w:p>
    <w:p w:rsidR="003A71F7" w:rsidRPr="00950B10" w:rsidRDefault="003A71F7" w:rsidP="00240B7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950B10">
        <w:rPr>
          <w:color w:val="000000"/>
        </w:rPr>
        <w:t>в общежитиях: не менее 60 % жилых комнат;</w:t>
      </w:r>
    </w:p>
    <w:p w:rsidR="003A71F7" w:rsidRPr="00950B10" w:rsidRDefault="003A71F7" w:rsidP="00240B71">
      <w:pPr>
        <w:numPr>
          <w:ilvl w:val="0"/>
          <w:numId w:val="16"/>
        </w:numPr>
        <w:ind w:left="0" w:firstLine="0"/>
        <w:jc w:val="both"/>
        <w:rPr>
          <w:color w:val="000000"/>
        </w:rPr>
      </w:pPr>
      <w:r w:rsidRPr="00950B10">
        <w:rPr>
          <w:color w:val="000000"/>
        </w:rPr>
        <w:t>в основных помещениях таких общественных зданий, как детские дошкольные учреждения, учебные общеобразовательные и профессиональные учреждения, школы-интернаты и детские дома, лечебно-профилактические, санаторно-оздоровительные учреждения, интернаты для престарелых и инвалидов, хосписы.</w:t>
      </w:r>
    </w:p>
    <w:p w:rsidR="003A71F7" w:rsidRPr="00950B10" w:rsidRDefault="003A71F7" w:rsidP="003A71F7">
      <w:pPr>
        <w:ind w:firstLine="567"/>
        <w:jc w:val="both"/>
        <w:rPr>
          <w:bCs/>
          <w:iCs/>
          <w:color w:val="000000"/>
        </w:rPr>
      </w:pPr>
      <w:r w:rsidRPr="00950B10">
        <w:rPr>
          <w:bCs/>
          <w:iCs/>
          <w:color w:val="000000"/>
        </w:rPr>
        <w:t>Примечания:</w:t>
      </w:r>
    </w:p>
    <w:p w:rsidR="003A71F7" w:rsidRPr="00950B10" w:rsidRDefault="003A71F7" w:rsidP="00240B71">
      <w:pPr>
        <w:numPr>
          <w:ilvl w:val="0"/>
          <w:numId w:val="1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Допускается прерывистость продолжительности инсоляции, при которой один из периодов должен быть не менее 1,0 часа. При этом суммарная продолжительность нормируемой инсоляции увеличивается на 0,5 часа.</w:t>
      </w:r>
    </w:p>
    <w:p w:rsidR="003A71F7" w:rsidRPr="00950B10" w:rsidRDefault="003A71F7" w:rsidP="00240B71">
      <w:pPr>
        <w:numPr>
          <w:ilvl w:val="0"/>
          <w:numId w:val="1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Допускается снижение продолжительности инсоляции на 0,5 часа в 2 - 3-х комнатных квартирах, где инсолируется не менее двух комнат, и в многокомнатных квартирах, где инсолируется не менее трех комнат, а также при реконструкции жилой застройки в центральной и исторической зонах поселения.</w:t>
      </w:r>
    </w:p>
    <w:p w:rsidR="003A71F7" w:rsidRPr="00950B10" w:rsidRDefault="003A71F7" w:rsidP="00240B71">
      <w:pPr>
        <w:numPr>
          <w:ilvl w:val="0"/>
          <w:numId w:val="1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К основным функциональным помещениям относятся:</w:t>
      </w:r>
    </w:p>
    <w:p w:rsidR="003A71F7" w:rsidRPr="00950B10" w:rsidRDefault="003A71F7" w:rsidP="00240B71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зданиях детских дошкольных учреждений - групповые, игровые, изоляторы, палаты;</w:t>
      </w:r>
    </w:p>
    <w:p w:rsidR="003A71F7" w:rsidRPr="00950B10" w:rsidRDefault="003A71F7" w:rsidP="00240B71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учебных зданиях - классы и учебные кабинеты;</w:t>
      </w:r>
    </w:p>
    <w:p w:rsidR="003A71F7" w:rsidRPr="00950B10" w:rsidRDefault="003A71F7" w:rsidP="00240B71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лечебно-профилактических учреждениях - палаты (не менее 60 % общей численности);</w:t>
      </w:r>
    </w:p>
    <w:p w:rsidR="003A71F7" w:rsidRPr="00950B10" w:rsidRDefault="003A71F7" w:rsidP="00240B71">
      <w:pPr>
        <w:numPr>
          <w:ilvl w:val="0"/>
          <w:numId w:val="16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учреждениях социального обеспечения - палаты, изоляторы.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На территории детских игровых площадок, спортивных площадок жилых домов, групповых площадок детских дошкольных учреждений, спортивной зоны, зоны отдыха общеобразовательных школ и школ-интернатов, зоны отдыха лечебно-профилактических учреждений стационарного типа продолжительность инсоляции должна составлять не менее трех часов на 50 % площади участка.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Для определения минимальных разрывов между зданиями, обеспечивающих нормативную инсоляцию, необходим расчет продолжительности инсоляции помещений и </w:t>
      </w:r>
      <w:r w:rsidRPr="00950B10">
        <w:rPr>
          <w:color w:val="000000"/>
        </w:rPr>
        <w:lastRenderedPageBreak/>
        <w:t>территорий, который осуществляется с учетом географической широты, расположения и размеров затеняющих объектов.</w:t>
      </w:r>
    </w:p>
    <w:p w:rsidR="003A71F7" w:rsidRPr="00950B10" w:rsidRDefault="003A71F7" w:rsidP="003A71F7">
      <w:pPr>
        <w:jc w:val="both"/>
        <w:rPr>
          <w:color w:val="000000"/>
        </w:rPr>
      </w:pPr>
      <w:r w:rsidRPr="00950B10">
        <w:rPr>
          <w:color w:val="000000"/>
        </w:rPr>
        <w:t>Требования к естественному освещению жилых комнат и кухонь принимается в соответствии с СанПиН 2.1.2.2645-10 и СанПиН 2.2.1/2.1.1.1076-01.</w:t>
      </w:r>
    </w:p>
    <w:p w:rsidR="003A71F7" w:rsidRPr="003A71F7" w:rsidRDefault="003A71F7" w:rsidP="00240B71">
      <w:pPr>
        <w:pStyle w:val="1"/>
        <w:numPr>
          <w:ilvl w:val="0"/>
          <w:numId w:val="5"/>
        </w:numPr>
        <w:rPr>
          <w:bCs/>
          <w:color w:val="000000"/>
          <w:sz w:val="24"/>
        </w:rPr>
      </w:pPr>
      <w:bookmarkStart w:id="26" w:name="_Toc414879724"/>
      <w:r w:rsidRPr="003A71F7">
        <w:rPr>
          <w:bCs/>
          <w:color w:val="000000"/>
          <w:sz w:val="24"/>
        </w:rPr>
        <w:t>Зоны специального назначения</w:t>
      </w:r>
      <w:bookmarkEnd w:id="26"/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7" w:name="_Toc414879725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Общие положения</w:t>
      </w:r>
      <w:bookmarkEnd w:id="27"/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В состав зон специального назначения могут включаться зоны, занятые кладбищами, крематориями, скотомогильниками, объектами размещения отходов потребления и иными объектами, размещение которых может</w:t>
      </w:r>
      <w:r w:rsidRPr="00950B10">
        <w:rPr>
          <w:color w:val="000000"/>
        </w:rPr>
        <w:t xml:space="preserve"> быть обеспечено только путем выделения указанных зон и недопустимо в других зонах.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Для предприятий, производств и объектов, расположенных в зоне специального назначения, в зависимости от мощности,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требованиями </w:t>
      </w:r>
      <w:r w:rsidRPr="003A71F7">
        <w:rPr>
          <w:color w:val="000000"/>
        </w:rPr>
        <w:t>СанПиН 2.2.1/2.1.1.1200-03.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8" w:name="_Toc414879726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Зоны размещения кладбищ и крематориев</w:t>
      </w:r>
      <w:bookmarkEnd w:id="28"/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Нормативные требования к размещению кладбищ установлены  СанПиН 2.1.2882-11 «Гигиенические требования к размещению, устройству и содержанию кладбищ, зданий и сооружений похоронного назначения».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Санитарно-защитные зоны кладбищ принимаются в соответствии с требованиями СанПиН 2.2.1/2.1.1.1200-03.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</w:t>
      </w:r>
      <w:r w:rsidRPr="00950B10">
        <w:rPr>
          <w:color w:val="000000"/>
        </w:rPr>
        <w:t xml:space="preserve"> культовых и обрядовых объектов.</w:t>
      </w:r>
    </w:p>
    <w:p w:rsidR="003A71F7" w:rsidRPr="00950B10" w:rsidRDefault="003A71F7" w:rsidP="003A71F7">
      <w:pPr>
        <w:ind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Территория санитарно-защитных зон должна быть спланирована, благоустроена и озеленена, иметь транспортные и инженерные коридоры.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общеобразовательных), спортивно-оздоровительных организаций, культурно-просветительных учреждений и учреждений социального обеспечения должно составлять не менее 50 м.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не допускается.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Минимально допустимый уровень обеспеченности кладбищами принимать в соответствии с </w:t>
      </w:r>
      <w:r w:rsidRPr="00F3731C">
        <w:rPr>
          <w:color w:val="000000"/>
        </w:rPr>
        <w:t>таблицей  24.</w:t>
      </w:r>
    </w:p>
    <w:p w:rsidR="003A71F7" w:rsidRPr="00950B10" w:rsidRDefault="003A71F7" w:rsidP="003A71F7">
      <w:pPr>
        <w:contextualSpacing/>
        <w:jc w:val="right"/>
        <w:rPr>
          <w:color w:val="000000"/>
        </w:rPr>
      </w:pPr>
      <w:r w:rsidRPr="00F3731C">
        <w:rPr>
          <w:color w:val="000000"/>
        </w:rP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380"/>
        <w:gridCol w:w="1985"/>
        <w:gridCol w:w="1666"/>
      </w:tblGrid>
      <w:tr w:rsidR="003A71F7" w:rsidRPr="00950B10" w:rsidTr="0094269B">
        <w:tc>
          <w:tcPr>
            <w:tcW w:w="54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538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Наименование объектов</w:t>
            </w:r>
          </w:p>
        </w:tc>
        <w:tc>
          <w:tcPr>
            <w:tcW w:w="198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Единица измерения</w:t>
            </w:r>
          </w:p>
        </w:tc>
        <w:tc>
          <w:tcPr>
            <w:tcW w:w="166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Величина</w:t>
            </w:r>
          </w:p>
        </w:tc>
      </w:tr>
      <w:tr w:rsidR="003A71F7" w:rsidRPr="00950B10" w:rsidTr="0094269B">
        <w:trPr>
          <w:trHeight w:val="216"/>
        </w:trPr>
        <w:tc>
          <w:tcPr>
            <w:tcW w:w="54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38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Кладбище традиционного захоронения</w:t>
            </w:r>
          </w:p>
        </w:tc>
        <w:tc>
          <w:tcPr>
            <w:tcW w:w="198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га на 1 тыс. чел.</w:t>
            </w:r>
          </w:p>
        </w:tc>
        <w:tc>
          <w:tcPr>
            <w:tcW w:w="166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0,24</w:t>
            </w:r>
          </w:p>
        </w:tc>
      </w:tr>
      <w:tr w:rsidR="003A71F7" w:rsidRPr="00950B10" w:rsidTr="0094269B">
        <w:trPr>
          <w:trHeight w:val="216"/>
        </w:trPr>
        <w:tc>
          <w:tcPr>
            <w:tcW w:w="54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380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Кладбище урновых захоронений после кремации</w:t>
            </w:r>
          </w:p>
        </w:tc>
        <w:tc>
          <w:tcPr>
            <w:tcW w:w="1985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га на 1 тыс. чел.</w:t>
            </w:r>
          </w:p>
        </w:tc>
        <w:tc>
          <w:tcPr>
            <w:tcW w:w="1666" w:type="dxa"/>
            <w:shd w:val="clear" w:color="auto" w:fill="auto"/>
          </w:tcPr>
          <w:p w:rsidR="003A71F7" w:rsidRPr="00950B10" w:rsidRDefault="003A71F7" w:rsidP="0094269B">
            <w:pPr>
              <w:pStyle w:val="aff9"/>
              <w:spacing w:after="0" w:line="240" w:lineRule="auto"/>
              <w:ind w:left="0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</w:pPr>
            <w:r w:rsidRPr="00950B10"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ru-RU"/>
              </w:rPr>
              <w:t>0,02</w:t>
            </w:r>
          </w:p>
        </w:tc>
      </w:tr>
    </w:tbl>
    <w:p w:rsidR="003A71F7" w:rsidRPr="00950B10" w:rsidRDefault="003A71F7" w:rsidP="003A71F7">
      <w:pPr>
        <w:contextualSpacing/>
        <w:jc w:val="both"/>
        <w:rPr>
          <w:color w:val="000000"/>
        </w:rPr>
      </w:pP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Размер земельного участка для кладбища определяется с учетом количества жителей конкретного населенного пункта,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Расстояние до кладбища традиционного захоронения должно приниматься: 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от жилых, общественных зданий, спортивно-оздоровительных и санаторно-курортных комплексов в соответствии с </w:t>
      </w:r>
      <w:hyperlink r:id="rId10" w:history="1">
        <w:r w:rsidRPr="00950B10">
          <w:rPr>
            <w:color w:val="000000"/>
          </w:rPr>
          <w:t>СанПиН 2.2.1/2.1.1.1200-03</w:t>
        </w:r>
      </w:hyperlink>
      <w:r w:rsidRPr="00950B10">
        <w:rPr>
          <w:color w:val="000000"/>
        </w:rPr>
        <w:t xml:space="preserve">, 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lastRenderedPageBreak/>
        <w:t>от водозаборных сооружений централизованного источника водоснабжения населения не менее 1000 м (с подтверждением достаточности расстояния расчетами поясов зон санитарной охраны водоисточника и времени фильтрации).</w:t>
      </w:r>
    </w:p>
    <w:p w:rsidR="003A71F7" w:rsidRPr="00950B10" w:rsidRDefault="003A71F7" w:rsidP="003A71F7">
      <w:pPr>
        <w:ind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Участки для размещения кладбищ следует располагать с подветренной стороны по отношению к жилой территории.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По истечении 25 лет с последнего захоронения расстояния от кладбища традиционного захоронения до жилой застройки могут быть сокращены до 100 м. 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Устройство кладбища осуществляется в соответствии с утвержденным в установленном порядке проектом.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 При организации кладбищенских комплексов должны учитываться требования: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зонирования территории (зоны: входная, ритуальная, административно-хозяйственная, захоронений, а также зеленой защиты по периметру кладбища);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организации подъездных путей и автостоянок;</w:t>
      </w:r>
    </w:p>
    <w:p w:rsidR="003A71F7" w:rsidRPr="003A71F7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водоснабжения, канализования, теплоэлектроснабжения и благоустройства </w:t>
      </w:r>
      <w:r w:rsidRPr="003A71F7">
        <w:rPr>
          <w:color w:val="000000"/>
        </w:rPr>
        <w:t>территории.</w:t>
      </w:r>
    </w:p>
    <w:p w:rsidR="003A71F7" w:rsidRPr="003A71F7" w:rsidRDefault="003A71F7" w:rsidP="003A71F7">
      <w:pPr>
        <w:ind w:firstLine="567"/>
        <w:jc w:val="both"/>
        <w:rPr>
          <w:color w:val="000000"/>
        </w:rPr>
      </w:pPr>
      <w:r w:rsidRPr="003A71F7">
        <w:rPr>
          <w:color w:val="000000"/>
        </w:rPr>
        <w:t>Площадь мест захоронения должна составлять 65 - 70% общей площади кладбища.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29" w:name="_Toc414879727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Зоны размещения скотомогильников</w:t>
      </w:r>
      <w:bookmarkEnd w:id="29"/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Скотомогильники (биотермические ямы) проектируются в соответствии с требованиями «Ветеринарно-санитарных правил сбора, утилизации и уничтожения биологических отходов», утвержденных Минсельхозпродом Российской Федерации 04 декабря 1995 № 13-7-2/469 и размещаются за границами населенных</w:t>
      </w:r>
      <w:r w:rsidRPr="00950B10">
        <w:rPr>
          <w:color w:val="000000"/>
        </w:rPr>
        <w:t xml:space="preserve"> пунктов.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Скотомогильники (биотермические ямы) предназначены для обеззараживания, уничтожения сжиганием или захоронения биологических отходов.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органов санитарно-эпидемиологического надзора.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Скотомогильники (биотермические ямы) размещают на сухом возвышенном участке земли площадью не менее 600 м</w:t>
      </w:r>
      <w:r w:rsidRPr="00950B10">
        <w:rPr>
          <w:color w:val="000000"/>
          <w:vertAlign w:val="superscript"/>
        </w:rPr>
        <w:t>2</w:t>
      </w:r>
      <w:r w:rsidRPr="00950B10">
        <w:rPr>
          <w:color w:val="000000"/>
        </w:rPr>
        <w:t>. Уровень стояния грунтовых вод должен быть не менее 2 м от поверхности земли.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Размер санитарно-защитной зоны следует принимать в соответствии с требованиями СанПиН 2.2.1/2.1.1.1200-03.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Минимальные расстояния от скотомогильников до скотопрогонов и пастбищ следует принимать 200 м, до автомобильных, железных дорог в зависимости от их категории – 50-300 м.</w:t>
      </w:r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Размещение скотомогильников (биотермических ям) на территории особо охраняемых территорий (в том числе особо охраняемых природных территориях, водоохранных, пригородных зонах, зонах охраны источников водоснабжения) категорически запрещается.</w:t>
      </w:r>
    </w:p>
    <w:p w:rsidR="003A71F7" w:rsidRPr="003A71F7" w:rsidRDefault="003A71F7" w:rsidP="00240B71">
      <w:pPr>
        <w:pStyle w:val="2"/>
        <w:keepNext w:val="0"/>
        <w:numPr>
          <w:ilvl w:val="1"/>
          <w:numId w:val="5"/>
        </w:numPr>
        <w:spacing w:before="0" w:after="0"/>
        <w:ind w:left="0" w:firstLine="567"/>
        <w:jc w:val="both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30" w:name="_Toc414879728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Зоны размещения объектов сферы обращения с  отходами</w:t>
      </w:r>
      <w:bookmarkEnd w:id="30"/>
    </w:p>
    <w:p w:rsidR="003A71F7" w:rsidRPr="003A71F7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Полигоны твердых коммунальных отходов (ТКО) являются специальными сооружениями, предназначенными для изоляции и обезвреживания ТКО, и должны гарантировать санитарно-эпидемиологическую безопасность населения.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3A71F7">
        <w:rPr>
          <w:color w:val="000000"/>
        </w:rPr>
        <w:t>Полигоны ТКО проектируются в соответствии с требованиями Федерального закона от 24.06.1998 № 89-ФЗ «Об отходах производства и потребления», СанПиН 2.1.7.1322-03, СП 2.1.7.1038-01, «Инструкции</w:t>
      </w:r>
      <w:r w:rsidRPr="00950B10">
        <w:rPr>
          <w:color w:val="000000"/>
        </w:rPr>
        <w:t xml:space="preserve"> по проектированию, эксплуатации и рекультивации полигонов для твердых бытовых отходов», утвержденной Минстроем России от 05.11.1996.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Места размещения объектов хранения и утилизации производственных и бытовых и иных отходов размещаются за пределами границ населенных пунктов, лесопарковых, курортных, лечебно-оздоровительных и рекреационных зон на обособленных территориях с обеспечением нормативных санитарно-защитных зон. Размер санитарно-защитной зоны полигона составляет 500 м. </w:t>
      </w:r>
    </w:p>
    <w:p w:rsidR="003A71F7" w:rsidRPr="00950B10" w:rsidRDefault="003A71F7" w:rsidP="003A71F7">
      <w:pPr>
        <w:ind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Выбор мест размещения таких объектов осуществляется на основе специальных (геологических, гидрологических и иных) исследований в соответствии с требованиями и в </w:t>
      </w:r>
      <w:r w:rsidRPr="00950B10">
        <w:rPr>
          <w:color w:val="000000"/>
        </w:rPr>
        <w:lastRenderedPageBreak/>
        <w:t>порядке, установленном СанПиН 2.1.7.1322-03, при наличии положительного заключения государственной экологической экспертизы.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Размер санитарно-защитной зоны должен быть уточнен расчетом рассеивания в атмосфере вредных выбросов с последующим проведением натурных исследований и измерений. Границы зоны устанавливаются по изолинии 1 ПДК, если она выходит из пределов нормативной зоны.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При отводе земельного участка определяется срок эксплуатации полигона и мероприятия по возвращению отведенной территории в состояние пригодное для хозяйственного использования (рекультивация).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Проектирование объектов по переработке (утилизации) </w:t>
      </w:r>
      <w:r w:rsidRPr="00F3731C">
        <w:rPr>
          <w:color w:val="000000"/>
        </w:rPr>
        <w:t>ТКО</w:t>
      </w:r>
      <w:r w:rsidRPr="00950B10">
        <w:rPr>
          <w:color w:val="000000"/>
        </w:rPr>
        <w:t xml:space="preserve"> следует осуществлять в соответствии с требованиями СанПиН 2.1.7.1322-03, СП 2.1.7.1038-01, СанПиН 4607-88.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Ориентировочное количество бытовых отходов определяется по расчету. Нормы накопления бытовых отходов отражены в </w:t>
      </w:r>
      <w:r w:rsidRPr="00F3731C">
        <w:rPr>
          <w:color w:val="000000"/>
        </w:rPr>
        <w:t>таблице 25.</w:t>
      </w:r>
    </w:p>
    <w:p w:rsidR="003A71F7" w:rsidRPr="00950B10" w:rsidRDefault="003A71F7" w:rsidP="003A71F7">
      <w:pPr>
        <w:ind w:firstLine="567"/>
        <w:jc w:val="right"/>
        <w:rPr>
          <w:color w:val="000000"/>
        </w:rPr>
      </w:pPr>
      <w:r w:rsidRPr="00F3731C">
        <w:rPr>
          <w:color w:val="000000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2127"/>
        <w:gridCol w:w="2233"/>
      </w:tblGrid>
      <w:tr w:rsidR="003A71F7" w:rsidRPr="00950B10" w:rsidTr="0094269B">
        <w:tc>
          <w:tcPr>
            <w:tcW w:w="5211" w:type="dxa"/>
            <w:vMerge w:val="restar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Бытовые отходы</w:t>
            </w:r>
          </w:p>
        </w:tc>
        <w:tc>
          <w:tcPr>
            <w:tcW w:w="4360" w:type="dxa"/>
            <w:gridSpan w:val="2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Количество бытовых отходов, чел./год*</w:t>
            </w:r>
          </w:p>
        </w:tc>
      </w:tr>
      <w:tr w:rsidR="003A71F7" w:rsidRPr="00950B10" w:rsidTr="0094269B">
        <w:tc>
          <w:tcPr>
            <w:tcW w:w="5211" w:type="dxa"/>
            <w:vMerge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кг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л</w:t>
            </w:r>
          </w:p>
        </w:tc>
      </w:tr>
      <w:tr w:rsidR="003A71F7" w:rsidRPr="00950B10" w:rsidTr="0094269B">
        <w:tc>
          <w:tcPr>
            <w:tcW w:w="9571" w:type="dxa"/>
            <w:gridSpan w:val="3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Твердые:</w:t>
            </w:r>
          </w:p>
        </w:tc>
      </w:tr>
      <w:tr w:rsidR="003A71F7" w:rsidRPr="00950B10" w:rsidTr="0094269B">
        <w:tc>
          <w:tcPr>
            <w:tcW w:w="5211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pStyle w:val="Default"/>
              <w:rPr>
                <w:sz w:val="22"/>
                <w:szCs w:val="22"/>
              </w:rPr>
            </w:pPr>
            <w:r w:rsidRPr="00950B10">
              <w:rPr>
                <w:sz w:val="22"/>
                <w:szCs w:val="22"/>
              </w:rPr>
              <w:t xml:space="preserve">190-225 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900-1000</w:t>
            </w:r>
          </w:p>
        </w:tc>
      </w:tr>
      <w:tr w:rsidR="003A71F7" w:rsidRPr="00950B10" w:rsidTr="0094269B">
        <w:tc>
          <w:tcPr>
            <w:tcW w:w="5211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от прочих жилых зданий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300-450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1100-1500</w:t>
            </w:r>
          </w:p>
        </w:tc>
      </w:tr>
      <w:tr w:rsidR="003A71F7" w:rsidRPr="00950B10" w:rsidTr="0094269B">
        <w:tc>
          <w:tcPr>
            <w:tcW w:w="5211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Общее количество по городу с учетом общественных зданий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280-300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1400-1500</w:t>
            </w:r>
          </w:p>
        </w:tc>
      </w:tr>
      <w:tr w:rsidR="003A71F7" w:rsidRPr="00950B10" w:rsidTr="0094269B">
        <w:tc>
          <w:tcPr>
            <w:tcW w:w="5211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Жидкие из выгребов (при отсутствии канализации)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-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pStyle w:val="Default"/>
              <w:rPr>
                <w:sz w:val="22"/>
                <w:szCs w:val="22"/>
              </w:rPr>
            </w:pPr>
            <w:r w:rsidRPr="00950B10">
              <w:rPr>
                <w:sz w:val="22"/>
                <w:szCs w:val="22"/>
              </w:rPr>
              <w:t xml:space="preserve">2000-3500 </w:t>
            </w:r>
          </w:p>
        </w:tc>
      </w:tr>
      <w:tr w:rsidR="003A71F7" w:rsidRPr="00950B10" w:rsidTr="0094269B">
        <w:tc>
          <w:tcPr>
            <w:tcW w:w="5211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Смет с 1 м</w:t>
            </w:r>
            <w:r w:rsidRPr="00950B10">
              <w:rPr>
                <w:color w:val="000000"/>
                <w:vertAlign w:val="superscript"/>
              </w:rPr>
              <w:t>2</w:t>
            </w:r>
            <w:r w:rsidRPr="00950B10">
              <w:rPr>
                <w:color w:val="000000"/>
              </w:rPr>
              <w:t xml:space="preserve"> твердых покрытий улиц, площадей и парков</w:t>
            </w:r>
          </w:p>
        </w:tc>
        <w:tc>
          <w:tcPr>
            <w:tcW w:w="2127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5-15</w:t>
            </w:r>
          </w:p>
        </w:tc>
        <w:tc>
          <w:tcPr>
            <w:tcW w:w="2233" w:type="dxa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8-20</w:t>
            </w:r>
          </w:p>
        </w:tc>
      </w:tr>
    </w:tbl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 xml:space="preserve">Размеры земельных участков и санитарно-защитных зон предприятий и сооружений по обезвреживанию, транспортировке и переработке бытовых отходов следует принимать по </w:t>
      </w:r>
      <w:r w:rsidRPr="00F3731C">
        <w:rPr>
          <w:color w:val="000000"/>
        </w:rPr>
        <w:t>таблице 26.</w:t>
      </w:r>
    </w:p>
    <w:p w:rsidR="003A71F7" w:rsidRPr="00950B10" w:rsidRDefault="003A71F7" w:rsidP="003A71F7">
      <w:pPr>
        <w:contextualSpacing/>
        <w:jc w:val="right"/>
        <w:rPr>
          <w:color w:val="000000"/>
        </w:rPr>
      </w:pPr>
      <w:r w:rsidRPr="00F3731C">
        <w:rPr>
          <w:color w:val="000000"/>
        </w:rPr>
        <w:t>Таблица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34"/>
        <w:gridCol w:w="3659"/>
        <w:gridCol w:w="2403"/>
      </w:tblGrid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Предприятия и сооружения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Площади земельных участков на 1000 т бытовых отходов, га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Размеры санитарно-защитных зон, м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Мусороперерабатывающие и мусоросжигательные предприятия мощностью, тыс. т в год: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до 100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0,05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300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Свыше 100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0,05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Склады компоста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0,04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300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Полигоны*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0,02-0,05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Поля компостирования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0,5-1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500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Мусороперегрузочные станции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0,04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Сливные станции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0,02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300</w:t>
            </w:r>
          </w:p>
        </w:tc>
      </w:tr>
      <w:tr w:rsidR="003A71F7" w:rsidRPr="00950B10" w:rsidTr="0094269B">
        <w:tc>
          <w:tcPr>
            <w:tcW w:w="2056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1777" w:type="pct"/>
            <w:shd w:val="clear" w:color="auto" w:fill="auto"/>
          </w:tcPr>
          <w:p w:rsidR="003A71F7" w:rsidRPr="00950B10" w:rsidRDefault="003A71F7" w:rsidP="0094269B">
            <w:pPr>
              <w:rPr>
                <w:color w:val="000000"/>
              </w:rPr>
            </w:pPr>
            <w:r w:rsidRPr="00950B10">
              <w:rPr>
                <w:color w:val="000000"/>
              </w:rPr>
              <w:t>0,3</w:t>
            </w:r>
          </w:p>
        </w:tc>
        <w:tc>
          <w:tcPr>
            <w:tcW w:w="1167" w:type="pct"/>
            <w:shd w:val="clear" w:color="auto" w:fill="auto"/>
          </w:tcPr>
          <w:p w:rsidR="003A71F7" w:rsidRPr="00950B10" w:rsidRDefault="003A71F7" w:rsidP="0094269B">
            <w:pPr>
              <w:jc w:val="center"/>
              <w:rPr>
                <w:color w:val="000000"/>
              </w:rPr>
            </w:pPr>
            <w:r w:rsidRPr="00950B10">
              <w:rPr>
                <w:color w:val="000000"/>
              </w:rPr>
              <w:t>1000</w:t>
            </w:r>
          </w:p>
        </w:tc>
      </w:tr>
    </w:tbl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* - наименьшие размеры площадей полигонов относятся к сооружениям, размещаемым на песчаных грунтах.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Объекты для утилизации отходов производства предназначены для длительного их хранения и захоронения при условии обеспечения санитарно-эпидемиологической безопасности населения на весь период их эксплуатации и после закрытия.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Объекты размещения отходов производства проектируются в соответствии с требованиями СанПиН 2.1.7.1322-03, СНиП 2.01.28-85.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lastRenderedPageBreak/>
        <w:t>Объекты для утилизации отходов производства следует размещать за пределами жилой зоны и на обособленных территориях с обеспечением нормативных санитарно-защитных зон.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Размер участка объекта определяется производительностью, видом и классом опасности отходов, технологией переработки, расчетным сроком эксплуатации на 20-25 лет и последующей возможностью использования отходов.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Объекты размещения отходов производства должны быть обеспечены централизованными сетями водоснабжения, канализации, очистными сооружениями (локальными), в том числе для очистки поверхностного стока и дренажных вод.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Для сбора, хранения и утилизации снежно-ледяных отложений с территории населенных пунктов, в том числе загрязненного снега с дорог, искусственных сооружений (мостов, эстакад, путепроводов и др.), следует предусматривать специализированные сооружения – снегоприемные пункты.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Проектирование снегоприемных пунктов следует осуществлять в соответствии с требованиями ОДМ 218.5.001-2008, «Рекомендаций по расчету систем сбора, отведения и очистки поверхностного стока с жилой, общественно-деловой и рекреационной зон, площадок предприятий и определению условий выпуска его в водные объекты», а также нормативных документов в области охраны окружающей среды.</w:t>
      </w:r>
    </w:p>
    <w:p w:rsidR="003A71F7" w:rsidRPr="00950B10" w:rsidRDefault="003A71F7" w:rsidP="00240B71">
      <w:pPr>
        <w:numPr>
          <w:ilvl w:val="2"/>
          <w:numId w:val="5"/>
        </w:numPr>
        <w:ind w:left="0" w:firstLine="567"/>
        <w:contextualSpacing/>
        <w:jc w:val="both"/>
        <w:rPr>
          <w:color w:val="000000"/>
        </w:rPr>
      </w:pPr>
      <w:r w:rsidRPr="00950B10">
        <w:rPr>
          <w:color w:val="000000"/>
        </w:rPr>
        <w:t>Количество снегоприемных пунктов и места их расположения определяются исходя из условий: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обеспечения оперативности работ по вывозке снега;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минимизации транспортных расходов при вывозке снега;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объемов снега, подлежащего вывозу;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пропускной способности канализационных коллекторов и мощность очистных сооружений;</w:t>
      </w:r>
    </w:p>
    <w:p w:rsidR="003A71F7" w:rsidRPr="00950B10" w:rsidRDefault="003A71F7" w:rsidP="00240B71">
      <w:pPr>
        <w:numPr>
          <w:ilvl w:val="0"/>
          <w:numId w:val="13"/>
        </w:numPr>
        <w:ind w:left="0" w:firstLine="709"/>
        <w:contextualSpacing/>
        <w:jc w:val="both"/>
        <w:rPr>
          <w:color w:val="000000"/>
        </w:rPr>
      </w:pPr>
      <w:r w:rsidRPr="00950B10">
        <w:rPr>
          <w:color w:val="000000"/>
        </w:rPr>
        <w:t>обеспеченности беспрепятственного подъезда к ним транспорта.</w:t>
      </w:r>
    </w:p>
    <w:p w:rsidR="003A71F7" w:rsidRDefault="003A71F7" w:rsidP="003A71F7">
      <w:pPr>
        <w:rPr>
          <w:color w:val="000000"/>
        </w:rPr>
      </w:pPr>
      <w:r w:rsidRPr="00950B10">
        <w:rPr>
          <w:color w:val="000000"/>
        </w:rPr>
        <w:t>Размер санитарно-защитной зоны от снегоприемных пунктов до жилой застройки следует принимать не менее 100 м</w:t>
      </w:r>
    </w:p>
    <w:p w:rsidR="003A71F7" w:rsidRPr="003A71F7" w:rsidRDefault="003A71F7" w:rsidP="003A71F7">
      <w:pPr>
        <w:pStyle w:val="2"/>
        <w:spacing w:before="0" w:after="0"/>
        <w:ind w:firstLine="426"/>
        <w:jc w:val="right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31" w:name="_Toc414879762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Приложение № 1.</w:t>
      </w:r>
      <w:bookmarkEnd w:id="31"/>
    </w:p>
    <w:p w:rsidR="003A71F7" w:rsidRPr="003A71F7" w:rsidRDefault="003A71F7" w:rsidP="003A71F7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3A71F7" w:rsidRPr="003A71F7" w:rsidRDefault="003A71F7" w:rsidP="003A71F7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  <w:bookmarkStart w:id="32" w:name="_Toc414879763"/>
      <w:r w:rsidRPr="003A71F7"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  <w:t>Перечень объектов, которые не допускается встраивать в жилые дома</w:t>
      </w:r>
      <w:bookmarkEnd w:id="32"/>
    </w:p>
    <w:p w:rsidR="003A71F7" w:rsidRPr="003A71F7" w:rsidRDefault="003A71F7" w:rsidP="003A71F7">
      <w:pPr>
        <w:pStyle w:val="2"/>
        <w:spacing w:before="0" w:after="0"/>
        <w:ind w:firstLine="426"/>
        <w:jc w:val="center"/>
        <w:rPr>
          <w:rFonts w:ascii="Times New Roman" w:hAnsi="Times New Roman" w:cs="Times New Roman"/>
          <w:bCs w:val="0"/>
          <w:i w:val="0"/>
          <w:color w:val="000000"/>
          <w:sz w:val="24"/>
          <w:szCs w:val="24"/>
        </w:rPr>
      </w:pPr>
    </w:p>
    <w:p w:rsidR="003A71F7" w:rsidRPr="003A71F7" w:rsidRDefault="003A71F7" w:rsidP="00240B71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3A71F7">
        <w:rPr>
          <w:color w:val="000000"/>
        </w:rPr>
        <w:t>В жилых зданиях не допускается размещать:</w:t>
      </w:r>
    </w:p>
    <w:p w:rsidR="003A71F7" w:rsidRPr="003A71F7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3A71F7">
        <w:rPr>
          <w:color w:val="000000"/>
        </w:rPr>
        <w:t>специализированные магазины москательно-химических и других товаров, эксплуатация которых может вести к загрязнению территории и воздуха жилой застройки; помещения, в том числе магазины с хранением в них сжиженных газов, легковоспламеняющихся и горючих жидкостей, взрывчатых веществ, способных взрываться и гореть при взаимодействии с водой, кислородом воздуха или друг с другом, товаров в аэрозольной упаковке, пиротехнических изделий;</w:t>
      </w:r>
    </w:p>
    <w:p w:rsidR="003A71F7" w:rsidRPr="003A71F7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3A71F7">
        <w:rPr>
          <w:color w:val="000000"/>
        </w:rPr>
        <w:t>магазины по продаже синтетических ковровых изделий, автозапчастей, шин и автомобильных масел;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специализированные рыбные магазины; склады любого назначения, в том числе оптовой (или мелкооптовой) торговли, кроме складских помещений, входящих в состав общественных учреждений, имеющих эвакуационные выходы, изолированные от эвакуационных путей жилой части здания (правило не распространяется на встроенные автостоянки);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все предприятия, а также магазины с режимом функционирования после 23 часов; 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предприятия бытового обслуживания, в которых применяются легковоспламеняющиеся вещества (кроме парикмахерских и мастерских по ремонту часов общей площадью до 300 м</w:t>
      </w:r>
      <w:r w:rsidRPr="00950B10">
        <w:rPr>
          <w:color w:val="000000"/>
          <w:vertAlign w:val="superscript"/>
        </w:rPr>
        <w:t>2</w:t>
      </w:r>
      <w:r w:rsidRPr="00950B10">
        <w:rPr>
          <w:color w:val="000000"/>
        </w:rPr>
        <w:t>); бани;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предприятия питания и досуга с числом мест более 50, общей площадью более 250 м</w:t>
      </w:r>
      <w:r w:rsidRPr="00950B10">
        <w:rPr>
          <w:color w:val="000000"/>
          <w:vertAlign w:val="superscript"/>
        </w:rPr>
        <w:t>2</w:t>
      </w:r>
      <w:r w:rsidRPr="00950B10">
        <w:rPr>
          <w:color w:val="000000"/>
        </w:rPr>
        <w:t xml:space="preserve"> все предприятия, функционирующие с музыкальным сопровождением, в том числе дискотеки, танцевальные студии, театры, а также казино;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lastRenderedPageBreak/>
        <w:t>прачечные и химчистки (кроме приемных пунктов и прачечных самообслуживания производительностью до 75 кг в смену); автоматические телефонные станции общей площадью более 100 м</w:t>
      </w:r>
      <w:r w:rsidRPr="00950B10">
        <w:rPr>
          <w:color w:val="000000"/>
          <w:vertAlign w:val="superscript"/>
        </w:rPr>
        <w:t>2</w:t>
      </w:r>
      <w:r w:rsidRPr="00950B10">
        <w:rPr>
          <w:color w:val="000000"/>
        </w:rPr>
        <w:t>; общественные туалеты, учреждения и магазины ритуальных услуг; встроенные и пристроенные трансформаторные подстанции;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 xml:space="preserve">производственные помещения (кроме помещений категорий В и Д для труда инвалидов и людей старшего возраста, в их числе: пунктов выдачи работы на дом, мастерских для сборочных и декоративных работ); 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зуботехнические лаборатории, клинико-диагностические и бактериологические лаборатории; диспансеры всех типов; дневные стационары диспансеров и стационары частных клиник: травмопункты, подстанции скорой и неотложной медицинской помощи; дерматовенерологические, психиатрические, инфекционные и фтизиатрические кабинеты врачебного приема; отделения (кабинеты) магнитно-резонансной томографии;</w:t>
      </w:r>
    </w:p>
    <w:p w:rsidR="003A71F7" w:rsidRPr="00950B10" w:rsidRDefault="003A71F7" w:rsidP="00240B71">
      <w:pPr>
        <w:numPr>
          <w:ilvl w:val="1"/>
          <w:numId w:val="18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рентгеновские кабинеты, а также помещения с лечебной или диагностической аппаратурой и установками, являющимися источниками ионизирующего излучения, превышающего допустимый уровень, установленный санитарно-эпидемиологическими правилами, ветеринарные клиники и кабинеты.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Магазины по продаже синтетических ковровых изделий допускается пристраивать к глухим участкам стен жилых зданий с пределом огнестойкости REI 150.</w:t>
      </w:r>
    </w:p>
    <w:p w:rsidR="003A71F7" w:rsidRPr="00950B10" w:rsidRDefault="003A71F7" w:rsidP="00240B71">
      <w:pPr>
        <w:numPr>
          <w:ilvl w:val="2"/>
          <w:numId w:val="17"/>
        </w:numPr>
        <w:ind w:left="0" w:firstLine="567"/>
        <w:jc w:val="both"/>
        <w:rPr>
          <w:color w:val="000000"/>
        </w:rPr>
      </w:pPr>
      <w:r w:rsidRPr="00950B10">
        <w:rPr>
          <w:color w:val="000000"/>
        </w:rPr>
        <w:t>В цокольном и подвальном этажах жилых зданий не допускается размещать помещения для хранения, переработки и использования в различных установках и устройствах легковоспламеняющихся и горючих жидкостей и сжиженных газов, взрывчатых веществ; помещения для пребывания детей; кинотеатры, конференц-залы и другие зальные помещения с числом мест более 50, сауны, а также лечебно-профилактические учреждения. При размещении в этих этажах других помещений следует также учитывать ограничения, установленные в пунктах 1.1. - 1.10. и в приложении Д СНиП 31-06.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  <w:r w:rsidRPr="00950B10">
        <w:rPr>
          <w:color w:val="000000"/>
        </w:rPr>
        <w:t>Перечень не допустимых для встраивания в жилые дома объектов может уточняться по местным условиям и приниматься решением органов местного самоуправления.</w:t>
      </w:r>
    </w:p>
    <w:p w:rsidR="003A71F7" w:rsidRPr="00950B10" w:rsidRDefault="003A71F7" w:rsidP="003A71F7">
      <w:pPr>
        <w:ind w:firstLine="567"/>
        <w:jc w:val="both"/>
        <w:rPr>
          <w:color w:val="000000"/>
        </w:rPr>
      </w:pPr>
    </w:p>
    <w:p w:rsidR="003A71F7" w:rsidRDefault="003A71F7" w:rsidP="003A71F7"/>
    <w:p w:rsidR="003A71F7" w:rsidRDefault="003A71F7" w:rsidP="003A71F7">
      <w:pPr>
        <w:adjustRightInd w:val="0"/>
        <w:ind w:firstLine="720"/>
        <w:jc w:val="both"/>
        <w:rPr>
          <w:sz w:val="28"/>
          <w:szCs w:val="28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Default="00D7650D" w:rsidP="00D7650D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650D" w:rsidRPr="00D7650D" w:rsidRDefault="00D7650D" w:rsidP="00D7650D">
      <w:pPr>
        <w:pStyle w:val="ConsNormal"/>
        <w:ind w:firstLine="0"/>
        <w:jc w:val="both"/>
        <w:rPr>
          <w:b/>
          <w:sz w:val="24"/>
          <w:szCs w:val="24"/>
        </w:rPr>
      </w:pPr>
    </w:p>
    <w:p w:rsidR="00D7650D" w:rsidRPr="00D7650D" w:rsidRDefault="00D7650D" w:rsidP="00A163A5">
      <w:pPr>
        <w:rPr>
          <w:b/>
        </w:rPr>
      </w:pPr>
    </w:p>
    <w:p w:rsidR="00D7650D" w:rsidRPr="00A163A5" w:rsidRDefault="00D7650D" w:rsidP="00A163A5"/>
    <w:p w:rsidR="00664A5C" w:rsidRPr="00C7047C" w:rsidRDefault="004D0CE5" w:rsidP="00A02E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0CE5"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4D0CE5"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 w:rsidRPr="004D0CE5"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 w:rsidRPr="004D0CE5"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  <w:sz w:val="22"/>
          <w:szCs w:val="22"/>
        </w:rPr>
        <w:pict>
          <v:group id="Группа 24" o:spid="_x0000_s1033" style="position:absolute;left:0;text-align:left;margin-left:-5.6pt;margin-top:1.9pt;width:487.5pt;height:101.2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9A6DEC" w:rsidRDefault="009A6DEC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9A6DEC" w:rsidRPr="00FD4E75" w:rsidRDefault="009A6DEC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9A6DEC" w:rsidRPr="00FD4E75" w:rsidRDefault="009A6DEC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Дерюга О.В.</w:t>
                    </w:r>
                  </w:p>
                  <w:p w:rsidR="009A6DEC" w:rsidRDefault="003A71F7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27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  усл.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9A6DEC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33" w:name="_GoBack"/>
                    <w:bookmarkEnd w:id="33"/>
                    <w:r w:rsidR="009A6DEC">
                      <w:rPr>
                        <w:i/>
                        <w:iCs/>
                        <w:sz w:val="18"/>
                      </w:rPr>
                      <w:t>ст</w:t>
                    </w:r>
                    <w:r w:rsidR="009A6DEC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 w:rsidR="009A6DEC">
                      <w:rPr>
                        <w:sz w:val="18"/>
                        <w:szCs w:val="18"/>
                      </w:rPr>
                      <w:t>Тираж 32</w:t>
                    </w:r>
                    <w:r w:rsidR="009A6DEC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9A6DEC" w:rsidRDefault="009A6DEC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sectPr w:rsidR="00664A5C" w:rsidRPr="00C7047C" w:rsidSect="00FD5BED">
      <w:headerReference w:type="default" r:id="rId11"/>
      <w:footerReference w:type="default" r:id="rId12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B71" w:rsidRDefault="00240B71" w:rsidP="00BB7F46">
      <w:r>
        <w:separator/>
      </w:r>
    </w:p>
  </w:endnote>
  <w:endnote w:type="continuationSeparator" w:id="1">
    <w:p w:rsidR="00240B71" w:rsidRDefault="00240B71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Default="004D0CE5">
    <w:pPr>
      <w:pStyle w:val="a5"/>
      <w:jc w:val="right"/>
    </w:pPr>
    <w:fldSimple w:instr="PAGE   \* MERGEFORMAT">
      <w:r w:rsidR="003A71F7">
        <w:rPr>
          <w:noProof/>
        </w:rPr>
        <w:t>5</w:t>
      </w:r>
    </w:fldSimple>
  </w:p>
  <w:p w:rsidR="009A6DEC" w:rsidRDefault="009A6DE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B71" w:rsidRDefault="00240B71" w:rsidP="00BB7F46">
      <w:r>
        <w:separator/>
      </w:r>
    </w:p>
  </w:footnote>
  <w:footnote w:type="continuationSeparator" w:id="1">
    <w:p w:rsidR="00240B71" w:rsidRDefault="00240B71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DEC" w:rsidRPr="00E314C8" w:rsidRDefault="009A6DEC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9A6DEC" w:rsidRDefault="00031EC7" w:rsidP="00E314C8">
    <w:pPr>
      <w:pStyle w:val="a3"/>
      <w:jc w:val="center"/>
    </w:pPr>
    <w:r>
      <w:rPr>
        <w:i/>
        <w:sz w:val="20"/>
        <w:szCs w:val="20"/>
      </w:rPr>
      <w:t>от 17 октября</w:t>
    </w:r>
    <w:r w:rsidR="009A6DEC">
      <w:rPr>
        <w:i/>
        <w:sz w:val="20"/>
        <w:szCs w:val="20"/>
      </w:rPr>
      <w:t xml:space="preserve"> </w:t>
    </w:r>
    <w:r w:rsidR="009A6DEC" w:rsidRPr="00E314C8">
      <w:rPr>
        <w:i/>
        <w:sz w:val="20"/>
        <w:szCs w:val="20"/>
      </w:rPr>
      <w:t>201</w:t>
    </w:r>
    <w:r w:rsidR="009A6DEC">
      <w:rPr>
        <w:i/>
        <w:sz w:val="20"/>
        <w:szCs w:val="20"/>
      </w:rPr>
      <w:t>8 года № 5</w:t>
    </w:r>
    <w:r>
      <w:rPr>
        <w:i/>
        <w:sz w:val="20"/>
        <w:szCs w:val="20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310"/>
    <w:multiLevelType w:val="hybridMultilevel"/>
    <w:tmpl w:val="8DA6A696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B2E"/>
    <w:multiLevelType w:val="hybridMultilevel"/>
    <w:tmpl w:val="1F5EBD8C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87B12ED"/>
    <w:multiLevelType w:val="multilevel"/>
    <w:tmpl w:val="8D349A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08804BBB"/>
    <w:multiLevelType w:val="hybridMultilevel"/>
    <w:tmpl w:val="FAD8C9BE"/>
    <w:lvl w:ilvl="0" w:tplc="92D22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F4BD7"/>
    <w:multiLevelType w:val="multilevel"/>
    <w:tmpl w:val="888E14A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308441A"/>
    <w:multiLevelType w:val="multilevel"/>
    <w:tmpl w:val="DDEA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94F7FFC"/>
    <w:multiLevelType w:val="hybridMultilevel"/>
    <w:tmpl w:val="5B0C6A10"/>
    <w:lvl w:ilvl="0" w:tplc="92D22684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27D2BBD"/>
    <w:multiLevelType w:val="multilevel"/>
    <w:tmpl w:val="11FA00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8">
    <w:nsid w:val="3AB604F3"/>
    <w:multiLevelType w:val="multilevel"/>
    <w:tmpl w:val="BD40CA80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9">
    <w:nsid w:val="3C914224"/>
    <w:multiLevelType w:val="hybridMultilevel"/>
    <w:tmpl w:val="4238EE92"/>
    <w:lvl w:ilvl="0" w:tplc="92D226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7EF3CFC"/>
    <w:multiLevelType w:val="hybridMultilevel"/>
    <w:tmpl w:val="352C3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DB105E"/>
    <w:multiLevelType w:val="multilevel"/>
    <w:tmpl w:val="000000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2">
    <w:nsid w:val="6D412EF5"/>
    <w:multiLevelType w:val="hybridMultilevel"/>
    <w:tmpl w:val="E358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273D"/>
    <w:multiLevelType w:val="multilevel"/>
    <w:tmpl w:val="1FE4E8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4">
    <w:nsid w:val="73512EBC"/>
    <w:multiLevelType w:val="hybridMultilevel"/>
    <w:tmpl w:val="48FC748E"/>
    <w:lvl w:ilvl="0" w:tplc="EBF01B5E">
      <w:start w:val="10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28E6"/>
    <w:multiLevelType w:val="hybridMultilevel"/>
    <w:tmpl w:val="C20E349C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6C22B818">
      <w:start w:val="1"/>
      <w:numFmt w:val="decimal"/>
      <w:lvlText w:val="%3."/>
      <w:lvlJc w:val="left"/>
      <w:pPr>
        <w:ind w:left="1637" w:hanging="360"/>
      </w:pPr>
      <w:rPr>
        <w:rFonts w:hint="default"/>
      </w:rPr>
    </w:lvl>
    <w:lvl w:ilvl="3" w:tplc="CF326FAC">
      <w:start w:val="180"/>
      <w:numFmt w:val="decimal"/>
      <w:lvlText w:val="%4"/>
      <w:lvlJc w:val="left"/>
      <w:pPr>
        <w:ind w:left="4026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6">
    <w:nsid w:val="7AF9080E"/>
    <w:multiLevelType w:val="hybridMultilevel"/>
    <w:tmpl w:val="DD627864"/>
    <w:lvl w:ilvl="0" w:tplc="04190011">
      <w:start w:val="1"/>
      <w:numFmt w:val="decimal"/>
      <w:lvlText w:val="%1)"/>
      <w:lvlJc w:val="left"/>
      <w:pPr>
        <w:ind w:left="1866" w:hanging="360"/>
      </w:pPr>
    </w:lvl>
    <w:lvl w:ilvl="1" w:tplc="04190011">
      <w:start w:val="1"/>
      <w:numFmt w:val="decimal"/>
      <w:lvlText w:val="%2)"/>
      <w:lvlJc w:val="left"/>
      <w:pPr>
        <w:ind w:left="2586" w:hanging="360"/>
      </w:pPr>
    </w:lvl>
    <w:lvl w:ilvl="2" w:tplc="0ED09368">
      <w:start w:val="1"/>
      <w:numFmt w:val="decimal"/>
      <w:lvlText w:val="%3."/>
      <w:lvlJc w:val="left"/>
      <w:pPr>
        <w:ind w:left="3486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7">
    <w:nsid w:val="7E1003E0"/>
    <w:multiLevelType w:val="hybridMultilevel"/>
    <w:tmpl w:val="CBB0DACE"/>
    <w:lvl w:ilvl="0" w:tplc="92D2268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11"/>
  </w:num>
  <w:num w:numId="5">
    <w:abstractNumId w:val="2"/>
  </w:num>
  <w:num w:numId="6">
    <w:abstractNumId w:val="1"/>
  </w:num>
  <w:num w:numId="7">
    <w:abstractNumId w:val="17"/>
  </w:num>
  <w:num w:numId="8">
    <w:abstractNumId w:val="4"/>
  </w:num>
  <w:num w:numId="9">
    <w:abstractNumId w:val="12"/>
  </w:num>
  <w:num w:numId="10">
    <w:abstractNumId w:val="6"/>
  </w:num>
  <w:num w:numId="11">
    <w:abstractNumId w:val="9"/>
  </w:num>
  <w:num w:numId="12">
    <w:abstractNumId w:val="13"/>
  </w:num>
  <w:num w:numId="13">
    <w:abstractNumId w:val="3"/>
  </w:num>
  <w:num w:numId="14">
    <w:abstractNumId w:val="14"/>
  </w:num>
  <w:num w:numId="15">
    <w:abstractNumId w:val="10"/>
  </w:num>
  <w:num w:numId="16">
    <w:abstractNumId w:val="0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6FB"/>
    <w:rsid w:val="00021FE5"/>
    <w:rsid w:val="00023CCD"/>
    <w:rsid w:val="00024095"/>
    <w:rsid w:val="00024565"/>
    <w:rsid w:val="00025DC0"/>
    <w:rsid w:val="000265ED"/>
    <w:rsid w:val="000266A0"/>
    <w:rsid w:val="00031B78"/>
    <w:rsid w:val="00031EC7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85C92"/>
    <w:rsid w:val="0009149A"/>
    <w:rsid w:val="000948D3"/>
    <w:rsid w:val="00095E6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11FCF"/>
    <w:rsid w:val="00112C19"/>
    <w:rsid w:val="00112FEB"/>
    <w:rsid w:val="00113B87"/>
    <w:rsid w:val="00115109"/>
    <w:rsid w:val="00115C24"/>
    <w:rsid w:val="001165D0"/>
    <w:rsid w:val="00117AEF"/>
    <w:rsid w:val="0012235F"/>
    <w:rsid w:val="00124773"/>
    <w:rsid w:val="001262AA"/>
    <w:rsid w:val="001266E8"/>
    <w:rsid w:val="00131646"/>
    <w:rsid w:val="00132C37"/>
    <w:rsid w:val="00134B81"/>
    <w:rsid w:val="00136CD4"/>
    <w:rsid w:val="00141AAD"/>
    <w:rsid w:val="00141D9C"/>
    <w:rsid w:val="001423F5"/>
    <w:rsid w:val="00146C31"/>
    <w:rsid w:val="00151739"/>
    <w:rsid w:val="00153653"/>
    <w:rsid w:val="001540AE"/>
    <w:rsid w:val="001541CC"/>
    <w:rsid w:val="001552DF"/>
    <w:rsid w:val="00156677"/>
    <w:rsid w:val="00157322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D6D9F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298A"/>
    <w:rsid w:val="00234022"/>
    <w:rsid w:val="002346C7"/>
    <w:rsid w:val="0023487F"/>
    <w:rsid w:val="002365A1"/>
    <w:rsid w:val="00240B7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1749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2DA3"/>
    <w:rsid w:val="002A5E14"/>
    <w:rsid w:val="002A65D1"/>
    <w:rsid w:val="002A6688"/>
    <w:rsid w:val="002A6F7B"/>
    <w:rsid w:val="002B3024"/>
    <w:rsid w:val="002B3804"/>
    <w:rsid w:val="002B7569"/>
    <w:rsid w:val="002C0B0C"/>
    <w:rsid w:val="002C0F89"/>
    <w:rsid w:val="002C1D13"/>
    <w:rsid w:val="002C2797"/>
    <w:rsid w:val="002C36BA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321C"/>
    <w:rsid w:val="002E438D"/>
    <w:rsid w:val="002E58F9"/>
    <w:rsid w:val="002F1043"/>
    <w:rsid w:val="002F73A9"/>
    <w:rsid w:val="002F76AF"/>
    <w:rsid w:val="00301F7B"/>
    <w:rsid w:val="00305B7F"/>
    <w:rsid w:val="003075D7"/>
    <w:rsid w:val="00310E03"/>
    <w:rsid w:val="003116A0"/>
    <w:rsid w:val="0031270B"/>
    <w:rsid w:val="003147F8"/>
    <w:rsid w:val="00315950"/>
    <w:rsid w:val="00315F27"/>
    <w:rsid w:val="003172D7"/>
    <w:rsid w:val="00317619"/>
    <w:rsid w:val="00322635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A71F7"/>
    <w:rsid w:val="003B062B"/>
    <w:rsid w:val="003B1A75"/>
    <w:rsid w:val="003B4A85"/>
    <w:rsid w:val="003B5426"/>
    <w:rsid w:val="003B5A80"/>
    <w:rsid w:val="003B7C3C"/>
    <w:rsid w:val="003C04AA"/>
    <w:rsid w:val="003C156D"/>
    <w:rsid w:val="003C1C7A"/>
    <w:rsid w:val="003C2EAF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09A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4E6"/>
    <w:rsid w:val="004B39B3"/>
    <w:rsid w:val="004B418F"/>
    <w:rsid w:val="004B518E"/>
    <w:rsid w:val="004B6A4C"/>
    <w:rsid w:val="004C04E3"/>
    <w:rsid w:val="004C604B"/>
    <w:rsid w:val="004C695C"/>
    <w:rsid w:val="004D0A9A"/>
    <w:rsid w:val="004D0ACC"/>
    <w:rsid w:val="004D0CE5"/>
    <w:rsid w:val="004D170D"/>
    <w:rsid w:val="004D2427"/>
    <w:rsid w:val="004D303A"/>
    <w:rsid w:val="004D533B"/>
    <w:rsid w:val="004D6191"/>
    <w:rsid w:val="004E0133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4B2C"/>
    <w:rsid w:val="00504E77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754"/>
    <w:rsid w:val="00530BD4"/>
    <w:rsid w:val="00533284"/>
    <w:rsid w:val="00536D5A"/>
    <w:rsid w:val="00537C6E"/>
    <w:rsid w:val="005406D6"/>
    <w:rsid w:val="005413DD"/>
    <w:rsid w:val="00543ECC"/>
    <w:rsid w:val="005445DE"/>
    <w:rsid w:val="00545CEE"/>
    <w:rsid w:val="00550761"/>
    <w:rsid w:val="0055578D"/>
    <w:rsid w:val="00555AD0"/>
    <w:rsid w:val="005617DB"/>
    <w:rsid w:val="00562FDE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47FB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3C77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1228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34B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62C45"/>
    <w:rsid w:val="00664A5C"/>
    <w:rsid w:val="006730C1"/>
    <w:rsid w:val="006733D2"/>
    <w:rsid w:val="00674AA1"/>
    <w:rsid w:val="00674E21"/>
    <w:rsid w:val="0067611F"/>
    <w:rsid w:val="006769D3"/>
    <w:rsid w:val="00680244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060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92D"/>
    <w:rsid w:val="006D7F94"/>
    <w:rsid w:val="006E0664"/>
    <w:rsid w:val="006E26D2"/>
    <w:rsid w:val="006E2984"/>
    <w:rsid w:val="006E3EF1"/>
    <w:rsid w:val="006E40EF"/>
    <w:rsid w:val="006E463B"/>
    <w:rsid w:val="006E5482"/>
    <w:rsid w:val="006E6D9D"/>
    <w:rsid w:val="006E74E8"/>
    <w:rsid w:val="006F361C"/>
    <w:rsid w:val="006F3B5C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257C2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5DC1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67C27"/>
    <w:rsid w:val="007718D8"/>
    <w:rsid w:val="00771EA4"/>
    <w:rsid w:val="0077206C"/>
    <w:rsid w:val="00772F82"/>
    <w:rsid w:val="00772FD6"/>
    <w:rsid w:val="0077437C"/>
    <w:rsid w:val="00775A3B"/>
    <w:rsid w:val="00776BF9"/>
    <w:rsid w:val="007770E1"/>
    <w:rsid w:val="00777C12"/>
    <w:rsid w:val="00790612"/>
    <w:rsid w:val="0079218D"/>
    <w:rsid w:val="0079246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4AA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3D6C"/>
    <w:rsid w:val="0084567B"/>
    <w:rsid w:val="00846236"/>
    <w:rsid w:val="0084711B"/>
    <w:rsid w:val="008501BA"/>
    <w:rsid w:val="00850B9E"/>
    <w:rsid w:val="008517E6"/>
    <w:rsid w:val="0085205D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291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434D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37D"/>
    <w:rsid w:val="009076D0"/>
    <w:rsid w:val="009100F5"/>
    <w:rsid w:val="00916255"/>
    <w:rsid w:val="00920FF5"/>
    <w:rsid w:val="00921142"/>
    <w:rsid w:val="009226FA"/>
    <w:rsid w:val="00924549"/>
    <w:rsid w:val="00924722"/>
    <w:rsid w:val="009250F5"/>
    <w:rsid w:val="009260E9"/>
    <w:rsid w:val="00926B2F"/>
    <w:rsid w:val="00927B67"/>
    <w:rsid w:val="0093199F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6377"/>
    <w:rsid w:val="00947F85"/>
    <w:rsid w:val="009517BD"/>
    <w:rsid w:val="00954DCC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6DEC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6836"/>
    <w:rsid w:val="009D73AD"/>
    <w:rsid w:val="009D7464"/>
    <w:rsid w:val="009E02CF"/>
    <w:rsid w:val="009E0BEA"/>
    <w:rsid w:val="009E1026"/>
    <w:rsid w:val="009E152F"/>
    <w:rsid w:val="009E1D0C"/>
    <w:rsid w:val="009E36A5"/>
    <w:rsid w:val="009E4242"/>
    <w:rsid w:val="009E525D"/>
    <w:rsid w:val="009E5B4A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2E7C"/>
    <w:rsid w:val="00A03B21"/>
    <w:rsid w:val="00A062A1"/>
    <w:rsid w:val="00A101BB"/>
    <w:rsid w:val="00A11743"/>
    <w:rsid w:val="00A163A5"/>
    <w:rsid w:val="00A164CA"/>
    <w:rsid w:val="00A2205F"/>
    <w:rsid w:val="00A33D41"/>
    <w:rsid w:val="00A354A6"/>
    <w:rsid w:val="00A363F9"/>
    <w:rsid w:val="00A3722F"/>
    <w:rsid w:val="00A3741F"/>
    <w:rsid w:val="00A37558"/>
    <w:rsid w:val="00A4155E"/>
    <w:rsid w:val="00A50067"/>
    <w:rsid w:val="00A50C90"/>
    <w:rsid w:val="00A50C92"/>
    <w:rsid w:val="00A52878"/>
    <w:rsid w:val="00A53A00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36CD"/>
    <w:rsid w:val="00A84151"/>
    <w:rsid w:val="00A8456E"/>
    <w:rsid w:val="00A84F59"/>
    <w:rsid w:val="00A920B9"/>
    <w:rsid w:val="00A9567C"/>
    <w:rsid w:val="00A96922"/>
    <w:rsid w:val="00A96B39"/>
    <w:rsid w:val="00AA15CE"/>
    <w:rsid w:val="00AA20BD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1107"/>
    <w:rsid w:val="00AE6973"/>
    <w:rsid w:val="00AF0841"/>
    <w:rsid w:val="00AF1131"/>
    <w:rsid w:val="00AF27D2"/>
    <w:rsid w:val="00AF3079"/>
    <w:rsid w:val="00AF3C52"/>
    <w:rsid w:val="00AF757E"/>
    <w:rsid w:val="00B02442"/>
    <w:rsid w:val="00B0275B"/>
    <w:rsid w:val="00B108CB"/>
    <w:rsid w:val="00B115C7"/>
    <w:rsid w:val="00B140C3"/>
    <w:rsid w:val="00B14629"/>
    <w:rsid w:val="00B173D2"/>
    <w:rsid w:val="00B20033"/>
    <w:rsid w:val="00B22D15"/>
    <w:rsid w:val="00B2348B"/>
    <w:rsid w:val="00B24567"/>
    <w:rsid w:val="00B25AC3"/>
    <w:rsid w:val="00B25F3D"/>
    <w:rsid w:val="00B30DE0"/>
    <w:rsid w:val="00B355C9"/>
    <w:rsid w:val="00B35602"/>
    <w:rsid w:val="00B3623B"/>
    <w:rsid w:val="00B37642"/>
    <w:rsid w:val="00B4112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0E9"/>
    <w:rsid w:val="00B655E6"/>
    <w:rsid w:val="00B66A36"/>
    <w:rsid w:val="00B70E57"/>
    <w:rsid w:val="00B71624"/>
    <w:rsid w:val="00B71941"/>
    <w:rsid w:val="00B72627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1587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1367"/>
    <w:rsid w:val="00C620E3"/>
    <w:rsid w:val="00C643A2"/>
    <w:rsid w:val="00C64E76"/>
    <w:rsid w:val="00C654FF"/>
    <w:rsid w:val="00C65777"/>
    <w:rsid w:val="00C65A28"/>
    <w:rsid w:val="00C65C74"/>
    <w:rsid w:val="00C7047C"/>
    <w:rsid w:val="00C725C3"/>
    <w:rsid w:val="00C76086"/>
    <w:rsid w:val="00C80738"/>
    <w:rsid w:val="00C80975"/>
    <w:rsid w:val="00C84649"/>
    <w:rsid w:val="00C853F4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C23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1265"/>
    <w:rsid w:val="00D43EB9"/>
    <w:rsid w:val="00D46CD0"/>
    <w:rsid w:val="00D46D13"/>
    <w:rsid w:val="00D50F40"/>
    <w:rsid w:val="00D5248D"/>
    <w:rsid w:val="00D536E0"/>
    <w:rsid w:val="00D56574"/>
    <w:rsid w:val="00D57F49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650D"/>
    <w:rsid w:val="00D77DE3"/>
    <w:rsid w:val="00D8049F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B70C0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21A66"/>
    <w:rsid w:val="00E22CB4"/>
    <w:rsid w:val="00E24E29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1A51"/>
    <w:rsid w:val="00E82217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B7371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67C3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7B"/>
    <w:rsid w:val="00F623C7"/>
    <w:rsid w:val="00F64AAA"/>
    <w:rsid w:val="00F65AFA"/>
    <w:rsid w:val="00F65EFC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C6651"/>
    <w:rsid w:val="00FD1138"/>
    <w:rsid w:val="00FD257F"/>
    <w:rsid w:val="00FD3F81"/>
    <w:rsid w:val="00FD3FDC"/>
    <w:rsid w:val="00FD4E75"/>
    <w:rsid w:val="00FD541D"/>
    <w:rsid w:val="00FD5BED"/>
    <w:rsid w:val="00FD6797"/>
    <w:rsid w:val="00FD6AA6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iPriority="0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iPriority="0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iPriority="0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uiPriority w:val="99"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paragraph" w:styleId="af7">
    <w:name w:val="Title"/>
    <w:basedOn w:val="a"/>
    <w:link w:val="af8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af8">
    <w:name w:val="Название Знак"/>
    <w:link w:val="af7"/>
    <w:locked/>
    <w:rsid w:val="00B3623B"/>
    <w:rPr>
      <w:b/>
      <w:sz w:val="32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39"/>
    <w:qFormat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39"/>
    <w:qFormat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39"/>
    <w:qFormat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  <w:style w:type="paragraph" w:styleId="aff6">
    <w:name w:val="TOC Heading"/>
    <w:basedOn w:val="1"/>
    <w:next w:val="a"/>
    <w:uiPriority w:val="39"/>
    <w:semiHidden/>
    <w:unhideWhenUsed/>
    <w:qFormat/>
    <w:rsid w:val="003A71F7"/>
    <w:pPr>
      <w:keepLines/>
      <w:spacing w:before="48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0">
    <w:name w:val="Стиль Устав + По ширине Справа:  0 см Знак"/>
    <w:link w:val="00"/>
    <w:locked/>
    <w:rsid w:val="003A71F7"/>
    <w:rPr>
      <w:strike/>
      <w:sz w:val="24"/>
      <w:szCs w:val="24"/>
      <w:shd w:val="clear" w:color="auto" w:fill="FFFFFF"/>
    </w:rPr>
  </w:style>
  <w:style w:type="paragraph" w:customStyle="1" w:styleId="00">
    <w:name w:val="Стиль Устав + По ширине Справа:  0 см"/>
    <w:basedOn w:val="a"/>
    <w:link w:val="0"/>
    <w:autoRedefine/>
    <w:rsid w:val="003A71F7"/>
    <w:pPr>
      <w:shd w:val="clear" w:color="auto" w:fill="FFFFFF"/>
      <w:spacing w:line="278" w:lineRule="exact"/>
      <w:ind w:firstLine="540"/>
      <w:jc w:val="both"/>
    </w:pPr>
    <w:rPr>
      <w:rFonts w:ascii="Calibri" w:eastAsia="Calibri" w:hAnsi="Calibri"/>
      <w:strike/>
    </w:rPr>
  </w:style>
  <w:style w:type="paragraph" w:customStyle="1" w:styleId="Style7">
    <w:name w:val="Style7"/>
    <w:basedOn w:val="a"/>
    <w:rsid w:val="003A71F7"/>
    <w:pPr>
      <w:widowControl w:val="0"/>
      <w:autoSpaceDE w:val="0"/>
      <w:autoSpaceDN w:val="0"/>
      <w:adjustRightInd w:val="0"/>
      <w:spacing w:line="334" w:lineRule="exact"/>
    </w:pPr>
  </w:style>
  <w:style w:type="character" w:customStyle="1" w:styleId="aff7">
    <w:name w:val="Гипертекстовая ссылка"/>
    <w:rsid w:val="003A71F7"/>
    <w:rPr>
      <w:color w:val="008000"/>
    </w:rPr>
  </w:style>
  <w:style w:type="character" w:customStyle="1" w:styleId="aff8">
    <w:name w:val="Цветовое выделение"/>
    <w:rsid w:val="003A71F7"/>
    <w:rPr>
      <w:b/>
      <w:bCs/>
      <w:color w:val="000080"/>
    </w:rPr>
  </w:style>
  <w:style w:type="paragraph" w:styleId="aff9">
    <w:name w:val="List Paragraph"/>
    <w:basedOn w:val="a"/>
    <w:uiPriority w:val="34"/>
    <w:qFormat/>
    <w:rsid w:val="003A71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049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18594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0492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27</Pages>
  <Words>11560</Words>
  <Characters>65894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7</cp:revision>
  <cp:lastPrinted>2018-10-17T08:50:00Z</cp:lastPrinted>
  <dcterms:created xsi:type="dcterms:W3CDTF">2018-10-17T08:40:00Z</dcterms:created>
  <dcterms:modified xsi:type="dcterms:W3CDTF">2018-12-13T06:09:00Z</dcterms:modified>
</cp:coreProperties>
</file>