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0C" w:rsidRPr="00B35650" w:rsidRDefault="009D52E9" w:rsidP="00075C0C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B35650">
        <w:rPr>
          <w:b/>
          <w:bCs/>
          <w:sz w:val="28"/>
          <w:szCs w:val="28"/>
        </w:rPr>
        <w:t xml:space="preserve">Извещение </w:t>
      </w:r>
    </w:p>
    <w:p w:rsidR="00C87608" w:rsidRPr="00B35650" w:rsidRDefault="009D52E9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5650">
        <w:rPr>
          <w:b/>
          <w:bCs/>
          <w:sz w:val="28"/>
          <w:szCs w:val="28"/>
        </w:rPr>
        <w:t>о проведении общественного обсуждения</w:t>
      </w:r>
      <w:bookmarkEnd w:id="0"/>
      <w:r w:rsidRPr="00B35650">
        <w:rPr>
          <w:b/>
          <w:bCs/>
          <w:sz w:val="28"/>
          <w:szCs w:val="28"/>
        </w:rPr>
        <w:t xml:space="preserve"> по вопросу рассмотрения проекта </w:t>
      </w:r>
      <w:r w:rsidR="00C87608" w:rsidRPr="00B35650">
        <w:rPr>
          <w:b/>
          <w:bCs/>
          <w:sz w:val="28"/>
          <w:szCs w:val="28"/>
        </w:rPr>
        <w:t>п</w:t>
      </w:r>
      <w:r w:rsidR="00075C0C" w:rsidRPr="00B35650">
        <w:rPr>
          <w:rFonts w:eastAsia="Calibri"/>
          <w:b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</w:t>
      </w:r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при  осуществлении муниципального жилищного контроля на территории Грибановского муниципального района Воронежской области на 2023 год.</w:t>
      </w:r>
    </w:p>
    <w:p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59AE" w:rsidRDefault="009D52E9" w:rsidP="00075C0C">
      <w:pPr>
        <w:ind w:firstLine="709"/>
        <w:jc w:val="both"/>
        <w:rPr>
          <w:sz w:val="28"/>
          <w:szCs w:val="28"/>
        </w:rPr>
      </w:pPr>
      <w:proofErr w:type="gramStart"/>
      <w:r w:rsidRPr="00B35650">
        <w:rPr>
          <w:sz w:val="28"/>
          <w:szCs w:val="28"/>
        </w:rPr>
        <w:t xml:space="preserve">Администрация </w:t>
      </w:r>
      <w:r w:rsidR="00EF231F" w:rsidRPr="00B35650">
        <w:rPr>
          <w:sz w:val="28"/>
          <w:szCs w:val="28"/>
        </w:rPr>
        <w:t>Грибановского муниципального района</w:t>
      </w:r>
      <w:r w:rsidRPr="00B35650">
        <w:rPr>
          <w:sz w:val="28"/>
          <w:szCs w:val="28"/>
        </w:rPr>
        <w:t xml:space="preserve"> предлагает всем гражданам,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</w:t>
      </w:r>
      <w:r w:rsidR="000A5E19" w:rsidRPr="00B35650">
        <w:rPr>
          <w:bCs/>
          <w:sz w:val="28"/>
          <w:szCs w:val="28"/>
        </w:rPr>
        <w:t>п</w:t>
      </w:r>
      <w:r w:rsidR="000A5E19" w:rsidRPr="00B35650">
        <w:rPr>
          <w:rFonts w:eastAsia="Calibri"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2023 год</w:t>
      </w:r>
      <w:r w:rsidRPr="00B35650">
        <w:rPr>
          <w:sz w:val="28"/>
          <w:szCs w:val="28"/>
        </w:rPr>
        <w:t xml:space="preserve">. </w:t>
      </w:r>
      <w:proofErr w:type="gramEnd"/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Ознакомиться с проектом документа можно в сети Интернет по адресу </w:t>
      </w:r>
      <w:r w:rsidR="00B35650">
        <w:rPr>
          <w:sz w:val="28"/>
          <w:szCs w:val="28"/>
        </w:rPr>
        <w:t>https://gribmsu.ru</w:t>
      </w:r>
      <w:r w:rsidRPr="00B35650">
        <w:rPr>
          <w:sz w:val="28"/>
          <w:szCs w:val="28"/>
        </w:rPr>
        <w:t xml:space="preserve"> на официальном сайте </w:t>
      </w:r>
      <w:r w:rsidR="000A5E19" w:rsidRPr="00B35650">
        <w:rPr>
          <w:sz w:val="28"/>
          <w:szCs w:val="28"/>
        </w:rPr>
        <w:t>администрации Грибановского муниципального района Воронежской области</w:t>
      </w:r>
      <w:r w:rsidRPr="00B35650">
        <w:rPr>
          <w:sz w:val="28"/>
          <w:szCs w:val="28"/>
        </w:rPr>
        <w:t>.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Общественное обсуждение проводится с </w:t>
      </w:r>
      <w:r w:rsidR="00075C0C" w:rsidRPr="00B35650">
        <w:rPr>
          <w:sz w:val="28"/>
          <w:szCs w:val="28"/>
        </w:rPr>
        <w:t>01.10</w:t>
      </w:r>
      <w:r w:rsidRPr="00B35650">
        <w:rPr>
          <w:sz w:val="28"/>
          <w:szCs w:val="28"/>
        </w:rPr>
        <w:t xml:space="preserve">.2022 г. по </w:t>
      </w:r>
      <w:r w:rsidR="00075C0C" w:rsidRPr="00B35650">
        <w:rPr>
          <w:sz w:val="28"/>
          <w:szCs w:val="28"/>
        </w:rPr>
        <w:t>01</w:t>
      </w:r>
      <w:r w:rsidRPr="00B35650">
        <w:rPr>
          <w:sz w:val="28"/>
          <w:szCs w:val="28"/>
        </w:rPr>
        <w:t>.1</w:t>
      </w:r>
      <w:r w:rsidR="00075C0C" w:rsidRPr="00B35650">
        <w:rPr>
          <w:sz w:val="28"/>
          <w:szCs w:val="28"/>
        </w:rPr>
        <w:t>1</w:t>
      </w:r>
      <w:r w:rsidRPr="00B35650">
        <w:rPr>
          <w:sz w:val="28"/>
          <w:szCs w:val="28"/>
        </w:rPr>
        <w:t xml:space="preserve">.2022 г. 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sz w:val="28"/>
          <w:szCs w:val="28"/>
        </w:rPr>
        <w:t xml:space="preserve">- </w:t>
      </w:r>
      <w:r w:rsidRPr="00B35650">
        <w:rPr>
          <w:i/>
          <w:sz w:val="28"/>
          <w:szCs w:val="28"/>
        </w:rPr>
        <w:t xml:space="preserve">оставить указанный проект </w:t>
      </w:r>
      <w:r w:rsidR="00277F8D" w:rsidRPr="00B35650">
        <w:rPr>
          <w:bCs/>
          <w:i/>
          <w:sz w:val="28"/>
          <w:szCs w:val="28"/>
        </w:rPr>
        <w:t>п</w:t>
      </w:r>
      <w:r w:rsidR="00277F8D" w:rsidRPr="00B35650">
        <w:rPr>
          <w:rFonts w:eastAsia="Calibri"/>
          <w:i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2023 год</w:t>
      </w:r>
      <w:r w:rsidR="00277F8D" w:rsidRPr="00B35650">
        <w:rPr>
          <w:i/>
          <w:sz w:val="28"/>
          <w:szCs w:val="28"/>
        </w:rPr>
        <w:t xml:space="preserve"> </w:t>
      </w:r>
      <w:r w:rsidRPr="00B35650">
        <w:rPr>
          <w:i/>
          <w:sz w:val="28"/>
          <w:szCs w:val="28"/>
        </w:rPr>
        <w:t xml:space="preserve">без изменений; 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i/>
          <w:sz w:val="28"/>
          <w:szCs w:val="28"/>
        </w:rPr>
        <w:t xml:space="preserve">- внести изменения в указанный проект </w:t>
      </w:r>
      <w:r w:rsidR="00B35650" w:rsidRPr="00B35650">
        <w:rPr>
          <w:bCs/>
          <w:i/>
          <w:sz w:val="28"/>
          <w:szCs w:val="28"/>
        </w:rPr>
        <w:t>п</w:t>
      </w:r>
      <w:r w:rsidR="00B35650" w:rsidRPr="00B35650">
        <w:rPr>
          <w:rFonts w:eastAsia="Calibri"/>
          <w:i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2023 год</w:t>
      </w:r>
      <w:r w:rsidRPr="00B35650">
        <w:rPr>
          <w:i/>
          <w:sz w:val="28"/>
          <w:szCs w:val="28"/>
        </w:rPr>
        <w:t xml:space="preserve">.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Предложения и замечания участников общественных обсуждений принимаются с 1 октября 2022 года по 1 ноября 2022 года: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Грибановского  муниципального района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по адресу: Воронежская область, Грибановский район, </w:t>
      </w:r>
      <w:proofErr w:type="spellStart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пгт</w:t>
      </w:r>
      <w:proofErr w:type="spellEnd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. Грибановский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Центральная, 4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9D52E9" w:rsidRPr="00B35650" w:rsidRDefault="00075C0C" w:rsidP="00075C0C">
      <w:pPr>
        <w:ind w:firstLine="709"/>
        <w:jc w:val="both"/>
        <w:rPr>
          <w:sz w:val="28"/>
          <w:szCs w:val="28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2) на электронную почту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>Г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 xml:space="preserve">рибановского муниципального района 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grib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govvrn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D52E9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К общес</w:t>
      </w:r>
      <w:r w:rsidR="000C7C34" w:rsidRPr="00B35650">
        <w:rPr>
          <w:sz w:val="28"/>
          <w:szCs w:val="28"/>
        </w:rPr>
        <w:t>твенному обсуждению предлагается</w:t>
      </w:r>
      <w:r w:rsidRPr="00B35650">
        <w:rPr>
          <w:sz w:val="28"/>
          <w:szCs w:val="28"/>
        </w:rPr>
        <w:t xml:space="preserve"> </w:t>
      </w:r>
      <w:r w:rsidR="00075C0C" w:rsidRPr="00B35650">
        <w:rPr>
          <w:sz w:val="28"/>
          <w:szCs w:val="28"/>
        </w:rPr>
        <w:t xml:space="preserve">проект </w:t>
      </w:r>
      <w:r w:rsidR="00B35650" w:rsidRPr="00B35650">
        <w:rPr>
          <w:bCs/>
          <w:sz w:val="28"/>
          <w:szCs w:val="28"/>
        </w:rPr>
        <w:t>п</w:t>
      </w:r>
      <w:r w:rsidR="00B35650" w:rsidRPr="00B35650">
        <w:rPr>
          <w:rFonts w:eastAsia="Calibri"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2023 год</w:t>
      </w:r>
      <w:r w:rsidR="00075C0C" w:rsidRPr="00B35650">
        <w:rPr>
          <w:sz w:val="28"/>
          <w:szCs w:val="28"/>
        </w:rPr>
        <w:t>.</w:t>
      </w:r>
    </w:p>
    <w:p w:rsidR="00C25552" w:rsidRDefault="00C25552" w:rsidP="00075C0C">
      <w:pPr>
        <w:ind w:firstLine="709"/>
        <w:jc w:val="both"/>
        <w:rPr>
          <w:sz w:val="28"/>
          <w:szCs w:val="28"/>
        </w:rPr>
      </w:pPr>
    </w:p>
    <w:p w:rsidR="007C4918" w:rsidRPr="007C4918" w:rsidRDefault="007C4918" w:rsidP="007C4918">
      <w:pPr>
        <w:ind w:firstLine="709"/>
        <w:jc w:val="right"/>
        <w:rPr>
          <w:b/>
          <w:sz w:val="28"/>
          <w:szCs w:val="28"/>
        </w:rPr>
      </w:pPr>
      <w:r w:rsidRPr="007C4918">
        <w:rPr>
          <w:b/>
          <w:sz w:val="28"/>
          <w:szCs w:val="28"/>
        </w:rPr>
        <w:t>ПРОЕКТ</w:t>
      </w:r>
    </w:p>
    <w:p w:rsidR="007C4918" w:rsidRDefault="007C4918" w:rsidP="00075C0C">
      <w:pPr>
        <w:ind w:firstLine="709"/>
        <w:jc w:val="both"/>
        <w:rPr>
          <w:sz w:val="28"/>
          <w:szCs w:val="28"/>
        </w:rPr>
      </w:pPr>
    </w:p>
    <w:p w:rsidR="007C4918" w:rsidRDefault="007C4918" w:rsidP="007C4918">
      <w:pPr>
        <w:jc w:val="both"/>
        <w:rPr>
          <w:sz w:val="28"/>
          <w:szCs w:val="28"/>
        </w:rPr>
      </w:pP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Грибановского муниципального района                           Воронежской области</w:t>
      </w:r>
    </w:p>
    <w:p w:rsidR="007C4918" w:rsidRPr="003F374D" w:rsidRDefault="007C4918" w:rsidP="007C4918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7C4918" w:rsidRDefault="007C4918" w:rsidP="007C491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жилищного контроля на территории Грибановского муниципального района Воронежской области (д</w:t>
      </w:r>
      <w:r w:rsidRPr="009C3C70">
        <w:rPr>
          <w:rFonts w:eastAsia="Calibri"/>
          <w:sz w:val="28"/>
          <w:szCs w:val="28"/>
          <w:lang w:eastAsia="en-US"/>
        </w:rPr>
        <w:t>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Грибановского муниципального района Воронежской области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9C3C70">
        <w:rPr>
          <w:rFonts w:eastAsia="Calibri"/>
          <w:sz w:val="28"/>
          <w:szCs w:val="28"/>
          <w:lang w:eastAsia="en-US"/>
        </w:rPr>
        <w:t xml:space="preserve"> (далее – муниципальный контроль).</w:t>
      </w:r>
      <w:proofErr w:type="gramEnd"/>
    </w:p>
    <w:p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</w:t>
      </w:r>
      <w:r w:rsidRPr="00EE673C">
        <w:rPr>
          <w:rFonts w:eastAsia="Calibri"/>
          <w:b/>
          <w:sz w:val="28"/>
          <w:szCs w:val="28"/>
          <w:lang w:eastAsia="en-US"/>
        </w:rPr>
        <w:t>контрольного органа,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C4918" w:rsidRPr="00ED29DE" w:rsidRDefault="007C4918" w:rsidP="007C4918">
      <w:pPr>
        <w:ind w:firstLine="709"/>
        <w:jc w:val="both"/>
        <w:rPr>
          <w:sz w:val="28"/>
          <w:szCs w:val="28"/>
        </w:rPr>
      </w:pPr>
      <w:proofErr w:type="gramStart"/>
      <w:r w:rsidRPr="00ED29DE">
        <w:rPr>
          <w:sz w:val="28"/>
          <w:szCs w:val="28"/>
        </w:rPr>
        <w:t>Настоящая программа разработана в соответствии со</w:t>
      </w:r>
      <w:r w:rsidRPr="00ED29DE">
        <w:rPr>
          <w:color w:val="0000FF"/>
          <w:sz w:val="28"/>
          <w:szCs w:val="28"/>
        </w:rPr>
        <w:t xml:space="preserve"> </w:t>
      </w:r>
      <w:r w:rsidRPr="00ED29D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                         </w:t>
      </w:r>
      <w:r w:rsidRPr="00ED29DE">
        <w:rPr>
          <w:color w:val="000000"/>
          <w:sz w:val="28"/>
          <w:szCs w:val="28"/>
        </w:rPr>
        <w:t xml:space="preserve"> 44</w:t>
      </w:r>
      <w:r w:rsidRPr="00ED29DE">
        <w:rPr>
          <w:sz w:val="28"/>
          <w:szCs w:val="28"/>
        </w:rPr>
        <w:t xml:space="preserve"> Федерального закона от 31 июля 2021 г. № 248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Pr="00ED29DE">
        <w:rPr>
          <w:color w:val="000000"/>
          <w:sz w:val="28"/>
          <w:szCs w:val="28"/>
        </w:rPr>
        <w:t>постановлением</w:t>
      </w:r>
      <w:r w:rsidRPr="00ED29DE">
        <w:rPr>
          <w:sz w:val="28"/>
          <w:szCs w:val="28"/>
        </w:rPr>
        <w:t xml:space="preserve"> Правительства Российской Федерации от 25 июня 2021г. </w:t>
      </w:r>
      <w:r>
        <w:rPr>
          <w:sz w:val="28"/>
          <w:szCs w:val="28"/>
        </w:rPr>
        <w:t xml:space="preserve">              </w:t>
      </w:r>
      <w:r w:rsidRPr="00ED29DE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D29DE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</w:t>
      </w:r>
      <w:r w:rsidRPr="00ED29D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Грибановского муниципального района Воронежской области на 2023</w:t>
      </w:r>
      <w:r w:rsidRPr="00ED29DE">
        <w:rPr>
          <w:bCs/>
          <w:sz w:val="28"/>
          <w:szCs w:val="28"/>
        </w:rPr>
        <w:t xml:space="preserve"> год</w:t>
      </w:r>
      <w:r w:rsidRPr="00ED29DE">
        <w:rPr>
          <w:sz w:val="28"/>
          <w:szCs w:val="28"/>
        </w:rPr>
        <w:t>.</w:t>
      </w:r>
    </w:p>
    <w:p w:rsidR="007C4918" w:rsidRPr="00733FF8" w:rsidRDefault="007C4918" w:rsidP="007C491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 xml:space="preserve">1) 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C4918" w:rsidRPr="00196AD5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формированию фондов капитального ремонта;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</w:t>
      </w:r>
      <w:r w:rsidRPr="000E7BBF">
        <w:rPr>
          <w:bCs/>
          <w:sz w:val="28"/>
          <w:szCs w:val="28"/>
        </w:rPr>
        <w:t xml:space="preserve">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 w:rsidRPr="00196AD5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  правил: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C4918" w:rsidRPr="000E7BBF" w:rsidRDefault="007C4918" w:rsidP="007C491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7C4918" w:rsidRPr="00F121E3" w:rsidRDefault="007C4918" w:rsidP="007C491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121E3">
        <w:rPr>
          <w:sz w:val="28"/>
        </w:rPr>
        <w:t>Объектами жилищного контроля являются:</w:t>
      </w:r>
    </w:p>
    <w:p w:rsidR="007C4918" w:rsidRPr="000E7BBF" w:rsidRDefault="007C4918" w:rsidP="007C49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4918" w:rsidRPr="000E7BBF" w:rsidRDefault="007C4918" w:rsidP="007C491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деятельность, действия (бездействие), а также результаты деятельности организаций, осуществляющих деятельность по управлению многоквартирными домами и (или) оказывающих услуги и (или) выполняющие работы по содержанию и ремонту общего имущества в многоквартирных домах, а также оказывающих услуги и (или) выполняющие работы по </w:t>
      </w:r>
      <w:r>
        <w:rPr>
          <w:sz w:val="28"/>
        </w:rPr>
        <w:lastRenderedPageBreak/>
        <w:t>предоставлению коммунальных услуг собственникам  и пользователям помещений в многоквартирных домах и жилых домах.</w:t>
      </w:r>
      <w:proofErr w:type="gramEnd"/>
    </w:p>
    <w:p w:rsidR="007C4918" w:rsidRPr="00ED29DE" w:rsidRDefault="007C4918" w:rsidP="007C491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ED29DE">
        <w:rPr>
          <w:sz w:val="28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</w:t>
      </w:r>
      <w:r>
        <w:rPr>
          <w:sz w:val="28"/>
          <w:szCs w:val="28"/>
        </w:rPr>
        <w:t>ведению контрольных мероприятий.</w:t>
      </w:r>
    </w:p>
    <w:p w:rsidR="007C4918" w:rsidRDefault="007C4918" w:rsidP="007C491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C691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контролируемых лиц при осуществлении муниципального жилищного контроля выступают</w:t>
      </w:r>
      <w:r w:rsidRPr="005C6913">
        <w:rPr>
          <w:sz w:val="28"/>
          <w:szCs w:val="28"/>
        </w:rPr>
        <w:t xml:space="preserve"> юридические лица осуществляющие деятельность по управлению многоквартирными домами, общее количество ко</w:t>
      </w:r>
      <w:r>
        <w:rPr>
          <w:sz w:val="28"/>
          <w:szCs w:val="28"/>
        </w:rPr>
        <w:t>торых по состоянию на 01.01.2022</w:t>
      </w:r>
      <w:r w:rsidRPr="005C69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Грибановского муниципального района составляет </w:t>
      </w:r>
      <w:r w:rsidRPr="005C6913">
        <w:rPr>
          <w:sz w:val="28"/>
          <w:szCs w:val="28"/>
        </w:rPr>
        <w:t xml:space="preserve"> </w:t>
      </w:r>
      <w:r>
        <w:rPr>
          <w:sz w:val="28"/>
          <w:szCs w:val="28"/>
        </w:rPr>
        <w:t>1 единица.</w:t>
      </w:r>
    </w:p>
    <w:p w:rsidR="007C4918" w:rsidRDefault="007C4918" w:rsidP="007C4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2022 год проведено 0 проверок соблюдения жилищного законодательства Российской Федерации. </w:t>
      </w:r>
    </w:p>
    <w:p w:rsidR="007C4918" w:rsidRPr="00E243BF" w:rsidRDefault="007C4918" w:rsidP="007C4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рисков причинения вреда (ущерба) охраняемым законом ценностям муниципальным контролем в 2022 году осуществлялись следующие мероприятия:</w:t>
      </w:r>
    </w:p>
    <w:p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- размещение на официальном сайте</w:t>
      </w:r>
      <w:r w:rsidRPr="00B04D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04D65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актуализированные</w:t>
      </w:r>
      <w:r w:rsidRPr="00153175">
        <w:rPr>
          <w:sz w:val="28"/>
          <w:szCs w:val="28"/>
        </w:rPr>
        <w:t xml:space="preserve">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918" w:rsidRPr="005B5E69" w:rsidRDefault="007C4918" w:rsidP="007C491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7C4918" w:rsidRPr="0011444C" w:rsidRDefault="007C4918" w:rsidP="007C491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7C4918" w:rsidRPr="0003570A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C4918" w:rsidRPr="00620EF4" w:rsidRDefault="007C4918" w:rsidP="007C491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оценка возможной угрозы причинения, либо причинения вреда жизни, здоровья граждан, выработка и реализация профилактических мер, способствующих ее снижению;</w:t>
      </w:r>
    </w:p>
    <w:p w:rsidR="007C4918" w:rsidRPr="00431A76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20EF4">
        <w:rPr>
          <w:rFonts w:eastAsia="Calibri"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</w:t>
      </w:r>
      <w:r>
        <w:rPr>
          <w:rFonts w:eastAsia="Calibri"/>
          <w:sz w:val="28"/>
          <w:szCs w:val="28"/>
        </w:rPr>
        <w:t>бходимых мерах по их исполнению.</w:t>
      </w:r>
    </w:p>
    <w:p w:rsidR="007C4918" w:rsidRDefault="007C4918" w:rsidP="007C4918">
      <w:pPr>
        <w:rPr>
          <w:b/>
          <w:bCs/>
          <w:sz w:val="28"/>
          <w:szCs w:val="28"/>
          <w:highlight w:val="green"/>
        </w:rPr>
      </w:pPr>
    </w:p>
    <w:p w:rsidR="007C4918" w:rsidRPr="0081409C" w:rsidRDefault="007C4918" w:rsidP="007C491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7C4918" w:rsidRDefault="007C4918" w:rsidP="007C491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7C4918" w:rsidRPr="0015509B" w:rsidRDefault="007C4918" w:rsidP="007C4918">
      <w:pPr>
        <w:ind w:firstLine="567"/>
        <w:jc w:val="center"/>
        <w:rPr>
          <w:b/>
          <w:bCs/>
          <w:sz w:val="28"/>
          <w:szCs w:val="28"/>
        </w:rPr>
      </w:pPr>
    </w:p>
    <w:p w:rsidR="007C4918" w:rsidRPr="003C6F10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>а) информирование;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 xml:space="preserve">б) обобщение правоприменительной практики; 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:rsidR="007C4918" w:rsidRPr="00E7270A" w:rsidRDefault="007C4918" w:rsidP="007C4918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</w:t>
      </w:r>
      <w:r>
        <w:rPr>
          <w:sz w:val="28"/>
          <w:szCs w:val="28"/>
        </w:rPr>
        <w:t>П</w:t>
      </w:r>
      <w:r w:rsidRPr="00E7270A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1</w:t>
      </w:r>
      <w:r w:rsidRPr="00E7270A">
        <w:rPr>
          <w:sz w:val="28"/>
          <w:szCs w:val="28"/>
        </w:rPr>
        <w:t xml:space="preserve"> к Программе.</w:t>
      </w:r>
    </w:p>
    <w:p w:rsidR="007C4918" w:rsidRPr="00E7270A" w:rsidRDefault="007C4918" w:rsidP="007C4918">
      <w:pPr>
        <w:ind w:firstLine="567"/>
        <w:jc w:val="both"/>
        <w:rPr>
          <w:i/>
          <w:sz w:val="28"/>
          <w:szCs w:val="28"/>
        </w:rPr>
      </w:pP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2"/>
        <w:gridCol w:w="3190"/>
      </w:tblGrid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C1568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AC156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sz w:val="28"/>
                <w:szCs w:val="28"/>
              </w:rPr>
              <w:t>Полнота информации, размещенной на официальном сайте администрации Грибановского муниципального района Воронежской области  в соответствии со  статьей 46 Федерального закона №248-ФЗ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Не менее 10 мероприятий проведенных контрольным органом</w:t>
            </w:r>
          </w:p>
        </w:tc>
      </w:tr>
    </w:tbl>
    <w:p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C4918" w:rsidRDefault="007C4918" w:rsidP="007C4918">
      <w:pPr>
        <w:jc w:val="both"/>
        <w:rPr>
          <w:b/>
          <w:bCs/>
          <w:sz w:val="28"/>
          <w:szCs w:val="28"/>
        </w:rPr>
      </w:pPr>
    </w:p>
    <w:p w:rsidR="007C4918" w:rsidRDefault="007C4918" w:rsidP="007C4918">
      <w:pPr>
        <w:jc w:val="both"/>
        <w:rPr>
          <w:b/>
          <w:bCs/>
          <w:sz w:val="28"/>
          <w:szCs w:val="28"/>
        </w:rPr>
      </w:pPr>
    </w:p>
    <w:p w:rsidR="004D59AE" w:rsidRDefault="004D59AE" w:rsidP="007C4918">
      <w:pPr>
        <w:jc w:val="both"/>
        <w:rPr>
          <w:b/>
          <w:bCs/>
          <w:sz w:val="28"/>
          <w:szCs w:val="28"/>
        </w:rPr>
      </w:pPr>
    </w:p>
    <w:p w:rsidR="004D59AE" w:rsidRDefault="004D59AE" w:rsidP="007C4918">
      <w:pPr>
        <w:jc w:val="both"/>
        <w:rPr>
          <w:b/>
          <w:bCs/>
          <w:sz w:val="28"/>
          <w:szCs w:val="28"/>
        </w:rPr>
      </w:pPr>
    </w:p>
    <w:p w:rsidR="004D59AE" w:rsidRDefault="004D59AE" w:rsidP="007C4918">
      <w:pPr>
        <w:jc w:val="both"/>
        <w:rPr>
          <w:b/>
          <w:bCs/>
          <w:sz w:val="28"/>
          <w:szCs w:val="28"/>
        </w:rPr>
      </w:pPr>
    </w:p>
    <w:p w:rsidR="004D59AE" w:rsidRDefault="004D59AE" w:rsidP="007C4918">
      <w:pPr>
        <w:jc w:val="both"/>
        <w:rPr>
          <w:b/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</w:t>
      </w:r>
      <w:r w:rsidRPr="000262A9">
        <w:rPr>
          <w:bCs/>
          <w:sz w:val="28"/>
          <w:szCs w:val="28"/>
        </w:rPr>
        <w:t>иложение</w:t>
      </w:r>
      <w:r>
        <w:rPr>
          <w:bCs/>
          <w:sz w:val="28"/>
          <w:szCs w:val="28"/>
        </w:rPr>
        <w:t xml:space="preserve"> №1 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к программе профилактики рисков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 причинения вреда (ущерба) </w:t>
      </w:r>
      <w:proofErr w:type="gramStart"/>
      <w:r w:rsidRPr="00E14FD2">
        <w:rPr>
          <w:rFonts w:eastAsia="Calibri"/>
          <w:sz w:val="28"/>
          <w:szCs w:val="28"/>
          <w:lang w:eastAsia="en-US"/>
        </w:rPr>
        <w:t>охраняемым</w:t>
      </w:r>
      <w:proofErr w:type="gramEnd"/>
      <w:r w:rsidRPr="00E14FD2">
        <w:rPr>
          <w:rFonts w:eastAsia="Calibri"/>
          <w:sz w:val="28"/>
          <w:szCs w:val="28"/>
          <w:lang w:eastAsia="en-US"/>
        </w:rPr>
        <w:t xml:space="preserve"> 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законом ценностям при осуществлении 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Грибановского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7C4918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14FD2">
        <w:rPr>
          <w:rFonts w:eastAsia="Calibri"/>
          <w:sz w:val="28"/>
          <w:szCs w:val="28"/>
          <w:lang w:eastAsia="en-US"/>
        </w:rPr>
        <w:t>Воронежской области</w:t>
      </w:r>
    </w:p>
    <w:p w:rsidR="007C4918" w:rsidRPr="00E14FD2" w:rsidRDefault="007C4918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7C4918" w:rsidRPr="0081409C" w:rsidRDefault="007C4918" w:rsidP="007C4918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7C4918" w:rsidRDefault="007C4918" w:rsidP="007C491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417"/>
        <w:gridCol w:w="2657"/>
      </w:tblGrid>
      <w:tr w:rsidR="007C4918" w:rsidRPr="007A750F" w:rsidTr="007A2980">
        <w:tc>
          <w:tcPr>
            <w:tcW w:w="534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 мероприятия</w:t>
            </w:r>
          </w:p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657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7C4918" w:rsidRPr="007A750F" w:rsidTr="007A2980">
        <w:tc>
          <w:tcPr>
            <w:tcW w:w="534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7C4918" w:rsidRPr="00E14FD2" w:rsidRDefault="007C4918" w:rsidP="007A2980">
            <w:pPr>
              <w:pStyle w:val="ConsPlusTitle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FD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7C4918" w:rsidRPr="00872A5E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 </w:t>
            </w:r>
            <w:r w:rsidRPr="00872A5E">
              <w:rPr>
                <w:rFonts w:ascii="Times New Roman" w:hAnsi="Times New Roman"/>
                <w:b w:val="0"/>
                <w:sz w:val="28"/>
                <w:szCs w:val="28"/>
              </w:rPr>
              <w:t>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417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657" w:type="dxa"/>
          </w:tcPr>
          <w:p w:rsidR="007C4918" w:rsidRPr="00872A5E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отдела по ПСТС и ЖКХ  администрации Грибановского муниципального района </w:t>
            </w:r>
          </w:p>
        </w:tc>
      </w:tr>
      <w:tr w:rsidR="007C4918" w:rsidRPr="007A750F" w:rsidTr="007A2980">
        <w:trPr>
          <w:trHeight w:val="416"/>
        </w:trPr>
        <w:tc>
          <w:tcPr>
            <w:tcW w:w="534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C4918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FD2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7C4918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975BF0">
              <w:rPr>
                <w:rFonts w:ascii="Times New Roman" w:hAnsi="Times New Roman"/>
                <w:b w:val="0"/>
                <w:sz w:val="28"/>
                <w:szCs w:val="28"/>
              </w:rPr>
              <w:t xml:space="preserve">существляется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должностным лицом к</w:t>
            </w:r>
            <w:r w:rsidRPr="00975BF0">
              <w:rPr>
                <w:rFonts w:ascii="Times New Roman" w:hAnsi="Times New Roman"/>
                <w:b w:val="0"/>
                <w:sz w:val="28"/>
                <w:szCs w:val="28"/>
              </w:rPr>
              <w:t>онтрольного органа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 телефону, посредством видео</w:t>
            </w:r>
            <w:r w:rsidRPr="00975BF0">
              <w:rPr>
                <w:rFonts w:ascii="Times New Roman" w:hAnsi="Times New Roman"/>
                <w:b w:val="0"/>
                <w:sz w:val="28"/>
                <w:szCs w:val="28"/>
              </w:rPr>
              <w:t>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7C4918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 следующим вопросам:</w:t>
            </w:r>
          </w:p>
          <w:p w:rsidR="007C4918" w:rsidRPr="00CD711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порядок проведения контрольных мероприятий;</w:t>
            </w:r>
          </w:p>
          <w:p w:rsidR="007C4918" w:rsidRPr="00CD711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периодичности проведения контрольных мероприятий;</w:t>
            </w:r>
          </w:p>
          <w:p w:rsidR="007C4918" w:rsidRPr="00CD711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порядка принятия решений по итогам контрольных мероприятий;</w:t>
            </w:r>
          </w:p>
          <w:p w:rsidR="007C4918" w:rsidRPr="00975BF0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порядка обжалования решений к</w:t>
            </w:r>
            <w:r w:rsidRPr="00CD7118">
              <w:rPr>
                <w:rFonts w:eastAsia="Calibri"/>
                <w:sz w:val="28"/>
                <w:szCs w:val="28"/>
                <w:lang w:eastAsia="en-US"/>
              </w:rPr>
              <w:t>онтрольного органа.</w:t>
            </w:r>
          </w:p>
        </w:tc>
        <w:tc>
          <w:tcPr>
            <w:tcW w:w="1417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657" w:type="dxa"/>
          </w:tcPr>
          <w:p w:rsidR="007C4918" w:rsidRPr="00872A5E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по ПСТС и ЖКХ  администрации Грибановского муниципального района</w:t>
            </w:r>
          </w:p>
        </w:tc>
      </w:tr>
      <w:tr w:rsidR="007C4918" w:rsidRPr="007A750F" w:rsidTr="007A2980">
        <w:tc>
          <w:tcPr>
            <w:tcW w:w="534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C4918" w:rsidRPr="00AC1568" w:rsidRDefault="007C4918" w:rsidP="007A298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568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правоприменительной </w:t>
            </w:r>
            <w:r w:rsidRPr="00AC1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практики </w:t>
            </w:r>
          </w:p>
          <w:p w:rsidR="007C4918" w:rsidRPr="00AC1568" w:rsidRDefault="007C4918" w:rsidP="007A298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68">
              <w:rPr>
                <w:rFonts w:ascii="Times New Roman" w:hAnsi="Times New Roman"/>
                <w:sz w:val="28"/>
              </w:rPr>
              <w:t>Обобщение правоприменительной практики организации и проведения жилищного контроля осуществляется ежегодно.</w:t>
            </w:r>
          </w:p>
          <w:p w:rsidR="007C4918" w:rsidRPr="00601942" w:rsidRDefault="007C4918" w:rsidP="007A298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42">
              <w:rPr>
                <w:rFonts w:ascii="Times New Roman" w:hAnsi="Times New Roman"/>
                <w:sz w:val="28"/>
              </w:rPr>
      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контрольного органа.</w:t>
            </w:r>
            <w:r w:rsidRPr="00601942">
              <w:rPr>
                <w:sz w:val="28"/>
                <w:szCs w:val="28"/>
              </w:rPr>
              <w:t xml:space="preserve"> </w:t>
            </w:r>
            <w:r w:rsidRPr="00601942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 утверждается руководителем к</w:t>
            </w:r>
            <w:r w:rsidRPr="0060194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      </w:r>
          </w:p>
          <w:p w:rsidR="007C4918" w:rsidRPr="00E951E3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51E3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417" w:type="dxa"/>
          </w:tcPr>
          <w:p w:rsidR="007C4918" w:rsidRPr="00872A5E" w:rsidRDefault="007C4918" w:rsidP="007A2980">
            <w:pPr>
              <w:pStyle w:val="ConsPlusTitle"/>
              <w:adjustRightInd w:val="0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Не </w:t>
            </w: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позднее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 января 2024 г.</w:t>
            </w:r>
          </w:p>
        </w:tc>
        <w:tc>
          <w:tcPr>
            <w:tcW w:w="2657" w:type="dxa"/>
          </w:tcPr>
          <w:p w:rsidR="007C4918" w:rsidRPr="00872A5E" w:rsidRDefault="007C4918" w:rsidP="007A2980">
            <w:pPr>
              <w:pStyle w:val="ConsPlusTitle"/>
              <w:adjustRightInd w:val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Главный </w:t>
            </w:r>
            <w:r w:rsidRPr="00872A5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специалист отдела по ПСТС и ЖКХ  администрации Грибановского муниципального района</w:t>
            </w:r>
          </w:p>
        </w:tc>
      </w:tr>
    </w:tbl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pStyle w:val="a4"/>
        <w:spacing w:line="240" w:lineRule="auto"/>
      </w:pPr>
    </w:p>
    <w:p w:rsidR="007C4918" w:rsidRDefault="007C4918" w:rsidP="007C4918">
      <w:pPr>
        <w:pStyle w:val="a4"/>
        <w:spacing w:line="240" w:lineRule="auto"/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7C4918" w:rsidRDefault="007C4918" w:rsidP="007C4918">
      <w:pPr>
        <w:ind w:firstLine="567"/>
        <w:jc w:val="right"/>
        <w:rPr>
          <w:bCs/>
          <w:sz w:val="28"/>
          <w:szCs w:val="28"/>
        </w:rPr>
      </w:pPr>
    </w:p>
    <w:p w:rsidR="00C25552" w:rsidRPr="00075C0C" w:rsidRDefault="00C25552" w:rsidP="00075C0C">
      <w:pPr>
        <w:ind w:firstLine="709"/>
        <w:jc w:val="both"/>
        <w:rPr>
          <w:sz w:val="28"/>
          <w:szCs w:val="28"/>
        </w:rPr>
      </w:pPr>
    </w:p>
    <w:sectPr w:rsidR="00C25552" w:rsidRPr="00075C0C" w:rsidSect="004D59AE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22"/>
    <w:rsid w:val="00000EEC"/>
    <w:rsid w:val="00075C0C"/>
    <w:rsid w:val="000A5E19"/>
    <w:rsid w:val="000C2B02"/>
    <w:rsid w:val="000C7C34"/>
    <w:rsid w:val="000E1F81"/>
    <w:rsid w:val="000E4F67"/>
    <w:rsid w:val="00152C5D"/>
    <w:rsid w:val="00195EA4"/>
    <w:rsid w:val="00277F8D"/>
    <w:rsid w:val="002A1B8D"/>
    <w:rsid w:val="00394CAF"/>
    <w:rsid w:val="00403331"/>
    <w:rsid w:val="004D59AE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7B655F"/>
    <w:rsid w:val="007C4918"/>
    <w:rsid w:val="008439A1"/>
    <w:rsid w:val="008D3B74"/>
    <w:rsid w:val="008E5E98"/>
    <w:rsid w:val="009B71C1"/>
    <w:rsid w:val="009D52E9"/>
    <w:rsid w:val="009F4A2B"/>
    <w:rsid w:val="00A13C3A"/>
    <w:rsid w:val="00AF3B61"/>
    <w:rsid w:val="00B167DE"/>
    <w:rsid w:val="00B35650"/>
    <w:rsid w:val="00B4671B"/>
    <w:rsid w:val="00B47740"/>
    <w:rsid w:val="00B553E7"/>
    <w:rsid w:val="00B83C67"/>
    <w:rsid w:val="00BC166A"/>
    <w:rsid w:val="00C07060"/>
    <w:rsid w:val="00C25552"/>
    <w:rsid w:val="00C831AA"/>
    <w:rsid w:val="00C87608"/>
    <w:rsid w:val="00CA4207"/>
    <w:rsid w:val="00D00A4A"/>
    <w:rsid w:val="00D3677F"/>
    <w:rsid w:val="00D61F2F"/>
    <w:rsid w:val="00D96722"/>
    <w:rsid w:val="00DB5946"/>
    <w:rsid w:val="00DE517D"/>
    <w:rsid w:val="00DF6A5B"/>
    <w:rsid w:val="00ED71F1"/>
    <w:rsid w:val="00EF231F"/>
    <w:rsid w:val="00F10E42"/>
    <w:rsid w:val="00F338B7"/>
    <w:rsid w:val="00F5148E"/>
    <w:rsid w:val="00F7601C"/>
    <w:rsid w:val="00FC6007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4918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918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C49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18"/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7C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7C4918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491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5</cp:revision>
  <dcterms:created xsi:type="dcterms:W3CDTF">2022-09-14T07:36:00Z</dcterms:created>
  <dcterms:modified xsi:type="dcterms:W3CDTF">2022-10-04T12:21:00Z</dcterms:modified>
</cp:coreProperties>
</file>