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A2" w:rsidRPr="00BF3EDD" w:rsidRDefault="00C802A2" w:rsidP="00C802A2">
      <w:pPr>
        <w:spacing w:after="0" w:line="240" w:lineRule="auto"/>
        <w:jc w:val="both"/>
        <w:rPr>
          <w:rFonts w:ascii="Times New Roman" w:eastAsia="Times New Roman" w:hAnsi="Times New Roman" w:cs="Times New Roman"/>
          <w:b/>
          <w:i/>
          <w:sz w:val="24"/>
          <w:szCs w:val="24"/>
          <w:lang w:eastAsia="ru-RU"/>
        </w:rPr>
      </w:pPr>
      <w:r w:rsidRPr="00BF3EDD">
        <w:rPr>
          <w:rFonts w:ascii="Times New Roman" w:eastAsia="Times New Roman" w:hAnsi="Times New Roman" w:cs="Times New Roman"/>
          <w:b/>
          <w:i/>
          <w:sz w:val="24"/>
          <w:szCs w:val="24"/>
          <w:lang w:eastAsia="ru-RU"/>
        </w:rPr>
        <w:t>Когда следует информировать Пенсионный фонд о прекращении права на выплаты</w:t>
      </w:r>
    </w:p>
    <w:p w:rsidR="00C802A2" w:rsidRPr="00C802A2" w:rsidRDefault="00C802A2" w:rsidP="00C802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Существует ряд случаев, когда у человека прекращается право на выплаты Пенсионного фонда России. Это может происходить по разным причинам. Например, в результате трудоустройства или когда человек перестает быть нетрудоспособным. При наступлении подобных обстоятельств</w:t>
      </w:r>
      <w:r>
        <w:rPr>
          <w:rFonts w:ascii="Times New Roman" w:eastAsia="Times New Roman" w:hAnsi="Times New Roman" w:cs="Times New Roman"/>
          <w:sz w:val="24"/>
          <w:szCs w:val="24"/>
          <w:lang w:eastAsia="ru-RU"/>
        </w:rPr>
        <w:t>,</w:t>
      </w:r>
      <w:r w:rsidRPr="00C802A2">
        <w:rPr>
          <w:rFonts w:ascii="Times New Roman" w:eastAsia="Times New Roman" w:hAnsi="Times New Roman" w:cs="Times New Roman"/>
          <w:sz w:val="24"/>
          <w:szCs w:val="24"/>
          <w:lang w:eastAsia="ru-RU"/>
        </w:rPr>
        <w:t xml:space="preserve"> следует своевременно информировать Пенсионный фонд, чтобы избежать переплат и последующих взысканий, которые могут возникать в таких случаях.</w:t>
      </w:r>
    </w:p>
    <w:p w:rsidR="00C802A2" w:rsidRPr="00C802A2" w:rsidRDefault="00C802A2" w:rsidP="00C802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Чаще всего прекращение права на выплаты ПФР происходит при устройстве на работу, поскольку многие меры поддержки, оказываемые Фондом, носят социальный характер и предоставляются, когда у человека нет доходов от трудовой деятельности или когда он занимается социально значимой работой. К таким выплатам, например, относится доплата к пенсии до прожиточного минимума, предоставляемая неработающим пенсионерам, или выплата ухаживающим за детьми-инвалидами и пожилыми людьми.</w:t>
      </w:r>
    </w:p>
    <w:p w:rsidR="00C802A2" w:rsidRPr="00C802A2" w:rsidRDefault="00C802A2" w:rsidP="00C802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Одним из условий при их назначении является отсутствие оплачиваемой деятельности, с которой формируются страховые взносы на пенсию. При устройстве на работу у человека появляется постоянный доход, за него начинают уплачиваться взносы и, соответственно, прекращается право на выплаты.</w:t>
      </w:r>
    </w:p>
    <w:p w:rsidR="00C802A2" w:rsidRPr="00C802A2" w:rsidRDefault="00C802A2" w:rsidP="00C802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Причем так происходит не только в случае с трудовыми договорами. На выплаты по гражданско-правовым договорам, авторским или лицензионным соглашениям тоже распространяются правила обязательного пенсионного страхования. Организация или человек, выступающие в качестве одной из сторон в таких договорах, должны делать взносы на формирование пенсии другого участника договора.</w:t>
      </w:r>
    </w:p>
    <w:p w:rsidR="00C802A2" w:rsidRPr="00C802A2" w:rsidRDefault="00C802A2" w:rsidP="00C802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Помимо этого, существуют ситуации, когда прекращение права на выплаты может быть связано не с трудоустройством, а, например, с утратой нетрудоспособности. Если получатель страховой пенсии по потере кормильца достигает 18 лет и при этом не учится, у него прекращается право на пенсию. То же самое происходит, когда обучение завершилось или студента отчислили.</w:t>
      </w:r>
    </w:p>
    <w:p w:rsidR="00C802A2" w:rsidRPr="00C802A2" w:rsidRDefault="00C802A2" w:rsidP="00C802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В таких случаях выплаты по закону приостанавливаются со следующего месяца. Если человек при этом своевременно не сообщил об обстоятельствах, согласно которым он больше не имеет права на предоставление выплаты, может возникнуть переплата средств. В этом случае Пенсионный фонд направляет письменное уведомление и предлагает добровольно вернуть излишне выплаченные средства. При отказе средства взыскиваются в судебном порядке.</w:t>
      </w:r>
    </w:p>
    <w:p w:rsidR="00C802A2" w:rsidRPr="00C802A2" w:rsidRDefault="00C802A2" w:rsidP="00C802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В связи с этим Пенсионный фонд России напоминает всем получателям мер государственной поддержки о необходимости своевременно информировать ПФР о причинах, с появлением которых прекращается право на выплаты. Сделать это можно через сайт Пенсионного фонда, его клиентские службы или управления.</w:t>
      </w:r>
    </w:p>
    <w:p w:rsidR="00E76341" w:rsidRDefault="00E76341"/>
    <w:p w:rsidR="00C802A2" w:rsidRDefault="00C802A2"/>
    <w:p w:rsidR="00C802A2" w:rsidRDefault="00C802A2"/>
    <w:p w:rsidR="00BF3EDD" w:rsidRDefault="00BF3EDD"/>
    <w:p w:rsidR="00C802A2" w:rsidRDefault="00C802A2"/>
    <w:p w:rsidR="00C802A2" w:rsidRPr="00BF3EDD" w:rsidRDefault="00C802A2" w:rsidP="00C802A2">
      <w:pPr>
        <w:spacing w:after="0" w:line="240" w:lineRule="auto"/>
        <w:jc w:val="both"/>
        <w:rPr>
          <w:rFonts w:ascii="Times New Roman" w:eastAsia="Times New Roman" w:hAnsi="Times New Roman" w:cs="Times New Roman"/>
          <w:b/>
          <w:i/>
          <w:sz w:val="24"/>
          <w:szCs w:val="24"/>
          <w:lang w:eastAsia="ru-RU"/>
        </w:rPr>
      </w:pPr>
      <w:r w:rsidRPr="00BF3EDD">
        <w:rPr>
          <w:rFonts w:ascii="Times New Roman" w:eastAsia="Times New Roman" w:hAnsi="Times New Roman" w:cs="Times New Roman"/>
          <w:b/>
          <w:i/>
          <w:sz w:val="24"/>
          <w:szCs w:val="24"/>
          <w:lang w:eastAsia="ru-RU"/>
        </w:rPr>
        <w:lastRenderedPageBreak/>
        <w:t>В 2018 году аудитория электронного кабинета ПФР выросла до 11 миллионов человек</w:t>
      </w:r>
    </w:p>
    <w:p w:rsidR="00C802A2" w:rsidRPr="00C802A2" w:rsidRDefault="00C802A2" w:rsidP="00C802A2">
      <w:pPr>
        <w:spacing w:after="0" w:line="240" w:lineRule="auto"/>
        <w:jc w:val="both"/>
        <w:rPr>
          <w:rFonts w:ascii="Times New Roman" w:eastAsia="Times New Roman" w:hAnsi="Times New Roman" w:cs="Times New Roman"/>
          <w:sz w:val="24"/>
          <w:szCs w:val="24"/>
          <w:lang w:eastAsia="ru-RU"/>
        </w:rPr>
      </w:pPr>
      <w:r w:rsidRPr="00C802A2">
        <w:rPr>
          <w:rFonts w:ascii="Times New Roman" w:eastAsia="Times New Roman" w:hAnsi="Times New Roman" w:cs="Times New Roman"/>
          <w:color w:val="000000"/>
          <w:sz w:val="24"/>
          <w:szCs w:val="24"/>
          <w:lang w:eastAsia="ru-RU"/>
        </w:rPr>
        <w:t xml:space="preserve">Новости ПФР </w:t>
      </w:r>
    </w:p>
    <w:p w:rsidR="00C802A2" w:rsidRPr="00C802A2" w:rsidRDefault="00C802A2" w:rsidP="00C802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За прошлый год личный кабинет гражданина на сайте Пенсионного фонда России получил ряд полезных обновлений. В нем было открыто 13 новых сервисов, работающих в рамках 9 государственных услуг. Большинство запущенных сервисов – электронные заявления, которые позволяют дистанционно обращаться в ПФР за выплатами.</w:t>
      </w:r>
    </w:p>
    <w:p w:rsidR="00C802A2" w:rsidRPr="00C802A2" w:rsidRDefault="00C802A2" w:rsidP="00C802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Владельцы сертификата на материнский капитал получили возможность подавать заявление на ежемесячную выплату за второго ребенка, пенсионеры-северяне – оформлять компенсацию транспортных расходов при переселении с Крайнего Севера, а пенсионеры, переезжающие на новое место жительства, – уведомлять Пенсионный фонд о своем переезде.</w:t>
      </w:r>
    </w:p>
    <w:p w:rsidR="00C802A2" w:rsidRPr="00C802A2" w:rsidRDefault="00C802A2" w:rsidP="00C802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Каждый год все больше людей открывают для себя возможности электронного кабинета ПФР, поэтому его аудитория постоянно растет. В 2018-м она стала больше на несколько миллионов человек и в общей сложности составила 11 млн</w:t>
      </w:r>
      <w:r>
        <w:rPr>
          <w:rFonts w:ascii="Times New Roman" w:eastAsia="Times New Roman" w:hAnsi="Times New Roman" w:cs="Times New Roman"/>
          <w:sz w:val="24"/>
          <w:szCs w:val="24"/>
          <w:lang w:eastAsia="ru-RU"/>
        </w:rPr>
        <w:t>.</w:t>
      </w:r>
      <w:r w:rsidRPr="00C802A2">
        <w:rPr>
          <w:rFonts w:ascii="Times New Roman" w:eastAsia="Times New Roman" w:hAnsi="Times New Roman" w:cs="Times New Roman"/>
          <w:sz w:val="24"/>
          <w:szCs w:val="24"/>
          <w:lang w:eastAsia="ru-RU"/>
        </w:rPr>
        <w:t xml:space="preserve"> пользователей. В августе месячная аудитория кабинета впервые достигла одного миллиона человек и с тех пор не опускалась ниже этого уровня.</w:t>
      </w:r>
    </w:p>
    <w:p w:rsidR="00C802A2" w:rsidRPr="00C802A2" w:rsidRDefault="00C802A2" w:rsidP="00C802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Развитие электронного кабинета видно и по увеличившейся активности в использовании сервисов. Всего за прошлый год было обработано 33 млн</w:t>
      </w:r>
      <w:r>
        <w:rPr>
          <w:rFonts w:ascii="Times New Roman" w:eastAsia="Times New Roman" w:hAnsi="Times New Roman" w:cs="Times New Roman"/>
          <w:sz w:val="24"/>
          <w:szCs w:val="24"/>
          <w:lang w:eastAsia="ru-RU"/>
        </w:rPr>
        <w:t>.</w:t>
      </w:r>
      <w:r w:rsidRPr="00C802A2">
        <w:rPr>
          <w:rFonts w:ascii="Times New Roman" w:eastAsia="Times New Roman" w:hAnsi="Times New Roman" w:cs="Times New Roman"/>
          <w:sz w:val="24"/>
          <w:szCs w:val="24"/>
          <w:lang w:eastAsia="ru-RU"/>
        </w:rPr>
        <w:t xml:space="preserve"> обращений к сервисам ПФР, поступившим через личные кабинеты россиян, что в три раза превысило показатель 2017 года (10,6 млн</w:t>
      </w:r>
      <w:r>
        <w:rPr>
          <w:rFonts w:ascii="Times New Roman" w:eastAsia="Times New Roman" w:hAnsi="Times New Roman" w:cs="Times New Roman"/>
          <w:sz w:val="24"/>
          <w:szCs w:val="24"/>
          <w:lang w:eastAsia="ru-RU"/>
        </w:rPr>
        <w:t>.</w:t>
      </w:r>
      <w:r w:rsidRPr="00C802A2">
        <w:rPr>
          <w:rFonts w:ascii="Times New Roman" w:eastAsia="Times New Roman" w:hAnsi="Times New Roman" w:cs="Times New Roman"/>
          <w:sz w:val="24"/>
          <w:szCs w:val="24"/>
          <w:lang w:eastAsia="ru-RU"/>
        </w:rPr>
        <w:t xml:space="preserve"> обращений).</w:t>
      </w:r>
    </w:p>
    <w:p w:rsidR="00C802A2" w:rsidRPr="00C802A2" w:rsidRDefault="00C802A2" w:rsidP="00C802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Чаще всего при этом предоставлялись сервисы информирования, которые позволяют получать актуальные сведения о приобретенных пенсионных правах или уже назначенных выплатах. Такие сервисы стали в пять раз более востребованы и использовались в каждом третьем случае. В итоге почти 5 млн</w:t>
      </w:r>
      <w:r>
        <w:rPr>
          <w:rFonts w:ascii="Times New Roman" w:eastAsia="Times New Roman" w:hAnsi="Times New Roman" w:cs="Times New Roman"/>
          <w:sz w:val="24"/>
          <w:szCs w:val="24"/>
          <w:lang w:eastAsia="ru-RU"/>
        </w:rPr>
        <w:t>.</w:t>
      </w:r>
      <w:r w:rsidRPr="00C802A2">
        <w:rPr>
          <w:rFonts w:ascii="Times New Roman" w:eastAsia="Times New Roman" w:hAnsi="Times New Roman" w:cs="Times New Roman"/>
          <w:sz w:val="24"/>
          <w:szCs w:val="24"/>
          <w:lang w:eastAsia="ru-RU"/>
        </w:rPr>
        <w:t xml:space="preserve"> запросов пришлись на сведения о назначенных пенсиях и социальных выплатах, 5,1 млн</w:t>
      </w:r>
      <w:r>
        <w:rPr>
          <w:rFonts w:ascii="Times New Roman" w:eastAsia="Times New Roman" w:hAnsi="Times New Roman" w:cs="Times New Roman"/>
          <w:sz w:val="24"/>
          <w:szCs w:val="24"/>
          <w:lang w:eastAsia="ru-RU"/>
        </w:rPr>
        <w:t>.</w:t>
      </w:r>
      <w:r w:rsidRPr="00C802A2">
        <w:rPr>
          <w:rFonts w:ascii="Times New Roman" w:eastAsia="Times New Roman" w:hAnsi="Times New Roman" w:cs="Times New Roman"/>
          <w:sz w:val="24"/>
          <w:szCs w:val="24"/>
          <w:lang w:eastAsia="ru-RU"/>
        </w:rPr>
        <w:t xml:space="preserve"> запросов – на информацию о заработанных пенсионных коэффициентах и стаже.</w:t>
      </w:r>
    </w:p>
    <w:p w:rsidR="00C802A2" w:rsidRPr="00C802A2" w:rsidRDefault="00C802A2" w:rsidP="00C802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Более востребованным стало и приложение ПФР для смартфонов, которое обеспечивает доступ к ряду сервисов личного кабинета. За прошлый год приложение установили 405 тыс. человек – на 55% больше, чем годом ранее.</w:t>
      </w:r>
    </w:p>
    <w:p w:rsidR="00C802A2" w:rsidRPr="00C802A2" w:rsidRDefault="00C802A2" w:rsidP="00C802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 xml:space="preserve">Сервисы электронного кабинета ПФР охватывают практически все направления деятельности Фонда и предоставляемые им выплаты. Пользоваться кабинетом могут и пенсионеры, и те, кому до пенсии еще далеко. Для получения большинства электронных услуг необходима подтвержденная регистрация на сайте </w:t>
      </w:r>
      <w:proofErr w:type="spellStart"/>
      <w:r w:rsidRPr="00C802A2">
        <w:rPr>
          <w:rFonts w:ascii="Times New Roman" w:eastAsia="Times New Roman" w:hAnsi="Times New Roman" w:cs="Times New Roman"/>
          <w:sz w:val="24"/>
          <w:szCs w:val="24"/>
          <w:lang w:eastAsia="ru-RU"/>
        </w:rPr>
        <w:t>Госуслуг</w:t>
      </w:r>
      <w:proofErr w:type="spellEnd"/>
      <w:r w:rsidRPr="00C802A2">
        <w:rPr>
          <w:rFonts w:ascii="Times New Roman" w:eastAsia="Times New Roman" w:hAnsi="Times New Roman" w:cs="Times New Roman"/>
          <w:sz w:val="24"/>
          <w:szCs w:val="24"/>
          <w:lang w:eastAsia="ru-RU"/>
        </w:rPr>
        <w:t>. Те, у кого ее нет, могут прийти в клиентскую службу Пенсионного фонда и пройти соответствующую регистрацию.</w:t>
      </w:r>
    </w:p>
    <w:p w:rsidR="00C802A2" w:rsidRPr="00C802A2" w:rsidRDefault="00C802A2" w:rsidP="00C802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Спланировать свой визит в ПФР поможет сервис предварительной записи на прием, который также есть в личном кабинете и доступен через мобильное приложение. В 2018 году на прием в Пенсионный фонд с помощью сервиса записалось около миллиона человек.</w:t>
      </w:r>
    </w:p>
    <w:p w:rsidR="00C802A2" w:rsidRDefault="00C802A2"/>
    <w:p w:rsidR="00C802A2" w:rsidRDefault="00C802A2"/>
    <w:p w:rsidR="00C802A2" w:rsidRDefault="00C802A2"/>
    <w:p w:rsidR="00C802A2" w:rsidRPr="00BF3EDD" w:rsidRDefault="00C802A2" w:rsidP="00C802A2">
      <w:pPr>
        <w:spacing w:after="0" w:line="240" w:lineRule="auto"/>
        <w:rPr>
          <w:rFonts w:ascii="Times New Roman" w:eastAsia="Times New Roman" w:hAnsi="Times New Roman" w:cs="Times New Roman"/>
          <w:b/>
          <w:i/>
          <w:sz w:val="24"/>
          <w:szCs w:val="24"/>
          <w:lang w:eastAsia="ru-RU"/>
        </w:rPr>
      </w:pPr>
      <w:r w:rsidRPr="00BF3EDD">
        <w:rPr>
          <w:rFonts w:ascii="Times New Roman" w:eastAsia="Times New Roman" w:hAnsi="Times New Roman" w:cs="Times New Roman"/>
          <w:b/>
          <w:i/>
          <w:sz w:val="24"/>
          <w:szCs w:val="24"/>
          <w:lang w:eastAsia="ru-RU"/>
        </w:rPr>
        <w:lastRenderedPageBreak/>
        <w:t>Об индексации социальных пенсий с 1 апреля 2019 года</w:t>
      </w:r>
    </w:p>
    <w:p w:rsidR="00C802A2" w:rsidRPr="00C802A2" w:rsidRDefault="00C802A2" w:rsidP="00C802A2">
      <w:pPr>
        <w:spacing w:after="0"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color w:val="000000"/>
          <w:sz w:val="24"/>
          <w:szCs w:val="24"/>
          <w:lang w:eastAsia="ru-RU"/>
        </w:rPr>
        <w:t xml:space="preserve">Новости ПФР </w:t>
      </w:r>
    </w:p>
    <w:p w:rsid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Постановлением Правительства РФ от 15.03.2019 №271 утвержден коэффициент индексации социальных пенсий в размере 1,02 с 1 апреля 2019.</w:t>
      </w:r>
    </w:p>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Размеры основных категорий граждан - получателей социальных пенсий с 1 апреля 2019 составили: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8"/>
        <w:gridCol w:w="4387"/>
      </w:tblGrid>
      <w:tr w:rsidR="00C802A2" w:rsidRPr="00C802A2" w:rsidTr="00C802A2">
        <w:trPr>
          <w:trHeight w:val="240"/>
          <w:tblCellSpacing w:w="0" w:type="dxa"/>
        </w:trPr>
        <w:tc>
          <w:tcPr>
            <w:tcW w:w="2663" w:type="pc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02A2">
              <w:rPr>
                <w:rFonts w:ascii="Times New Roman" w:eastAsia="Times New Roman" w:hAnsi="Times New Roman" w:cs="Times New Roman"/>
                <w:b/>
                <w:bCs/>
                <w:sz w:val="24"/>
                <w:szCs w:val="24"/>
                <w:lang w:eastAsia="ru-RU"/>
              </w:rPr>
              <w:t>Категория</w:t>
            </w:r>
          </w:p>
        </w:tc>
        <w:tc>
          <w:tcPr>
            <w:tcW w:w="7520" w:type="pc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02A2">
              <w:rPr>
                <w:rFonts w:ascii="Times New Roman" w:eastAsia="Times New Roman" w:hAnsi="Times New Roman" w:cs="Times New Roman"/>
                <w:b/>
                <w:bCs/>
                <w:sz w:val="24"/>
                <w:szCs w:val="24"/>
                <w:lang w:eastAsia="ru-RU"/>
              </w:rPr>
              <w:t xml:space="preserve">Размер </w:t>
            </w:r>
          </w:p>
        </w:tc>
      </w:tr>
      <w:tr w:rsidR="00C802A2" w:rsidRPr="00C802A2" w:rsidTr="00C802A2">
        <w:trPr>
          <w:trHeight w:val="240"/>
          <w:tblCellSpacing w:w="0" w:type="dxa"/>
        </w:trPr>
        <w:tc>
          <w:tcPr>
            <w:tcW w:w="10184" w:type="pct"/>
            <w:gridSpan w:val="2"/>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02A2">
              <w:rPr>
                <w:rFonts w:ascii="Times New Roman" w:eastAsia="Times New Roman" w:hAnsi="Times New Roman" w:cs="Times New Roman"/>
                <w:b/>
                <w:bCs/>
                <w:i/>
                <w:iCs/>
                <w:sz w:val="24"/>
                <w:szCs w:val="24"/>
                <w:lang w:eastAsia="ru-RU"/>
              </w:rPr>
              <w:t>Социальная пенсия по старости</w:t>
            </w:r>
          </w:p>
        </w:tc>
      </w:tr>
      <w:tr w:rsidR="00C802A2" w:rsidRPr="00C802A2" w:rsidTr="00C802A2">
        <w:trPr>
          <w:trHeight w:val="510"/>
          <w:tblCellSpacing w:w="0" w:type="dxa"/>
        </w:trPr>
        <w:tc>
          <w:tcPr>
            <w:tcW w:w="2663" w:type="pc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Граждане, достигшие 65 и 60 лет (мужчины и женщины соответственно)</w:t>
            </w:r>
          </w:p>
        </w:tc>
        <w:tc>
          <w:tcPr>
            <w:tcW w:w="7520" w:type="pc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b/>
                <w:bCs/>
                <w:sz w:val="24"/>
                <w:szCs w:val="24"/>
                <w:lang w:eastAsia="ru-RU"/>
              </w:rPr>
              <w:t>5 283,84 руб.</w:t>
            </w:r>
          </w:p>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(увеличение на 103,60 руб.)</w:t>
            </w:r>
          </w:p>
        </w:tc>
      </w:tr>
      <w:tr w:rsidR="00C802A2" w:rsidRPr="00C802A2" w:rsidTr="00C802A2">
        <w:trPr>
          <w:trHeight w:val="240"/>
          <w:tblCellSpacing w:w="0" w:type="dxa"/>
        </w:trPr>
        <w:tc>
          <w:tcPr>
            <w:tcW w:w="10184" w:type="pct"/>
            <w:gridSpan w:val="2"/>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02A2">
              <w:rPr>
                <w:rFonts w:ascii="Times New Roman" w:eastAsia="Times New Roman" w:hAnsi="Times New Roman" w:cs="Times New Roman"/>
                <w:b/>
                <w:bCs/>
                <w:i/>
                <w:iCs/>
                <w:sz w:val="24"/>
                <w:szCs w:val="24"/>
                <w:lang w:eastAsia="ru-RU"/>
              </w:rPr>
              <w:t>По инвалидности</w:t>
            </w:r>
          </w:p>
        </w:tc>
      </w:tr>
      <w:tr w:rsidR="00C802A2" w:rsidRPr="00C802A2" w:rsidTr="00C802A2">
        <w:trPr>
          <w:trHeight w:val="510"/>
          <w:tblCellSpacing w:w="0" w:type="dxa"/>
        </w:trPr>
        <w:tc>
          <w:tcPr>
            <w:tcW w:w="2663" w:type="pc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Инвалиды I группы</w:t>
            </w:r>
          </w:p>
        </w:tc>
        <w:tc>
          <w:tcPr>
            <w:tcW w:w="7520" w:type="pc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b/>
                <w:bCs/>
                <w:sz w:val="24"/>
                <w:szCs w:val="24"/>
                <w:lang w:eastAsia="ru-RU"/>
              </w:rPr>
              <w:t>10 567,73 руб.</w:t>
            </w:r>
          </w:p>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(увеличение на 207,21 руб.)</w:t>
            </w:r>
          </w:p>
        </w:tc>
      </w:tr>
      <w:tr w:rsidR="00C802A2" w:rsidRPr="00C802A2" w:rsidTr="00C802A2">
        <w:trPr>
          <w:trHeight w:val="510"/>
          <w:tblCellSpacing w:w="0" w:type="dxa"/>
        </w:trPr>
        <w:tc>
          <w:tcPr>
            <w:tcW w:w="2663" w:type="pc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Инвалиды II группы</w:t>
            </w:r>
          </w:p>
        </w:tc>
        <w:tc>
          <w:tcPr>
            <w:tcW w:w="7520" w:type="pc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b/>
                <w:bCs/>
                <w:sz w:val="24"/>
                <w:szCs w:val="24"/>
                <w:lang w:eastAsia="ru-RU"/>
              </w:rPr>
              <w:t>5 283,84 руб.</w:t>
            </w:r>
          </w:p>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(увеличение на 103,60 руб.)</w:t>
            </w:r>
          </w:p>
        </w:tc>
      </w:tr>
      <w:tr w:rsidR="00C802A2" w:rsidRPr="00C802A2" w:rsidTr="00C802A2">
        <w:trPr>
          <w:trHeight w:val="510"/>
          <w:tblCellSpacing w:w="0" w:type="dxa"/>
        </w:trPr>
        <w:tc>
          <w:tcPr>
            <w:tcW w:w="2663" w:type="pc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Инвалиды III группы</w:t>
            </w:r>
          </w:p>
        </w:tc>
        <w:tc>
          <w:tcPr>
            <w:tcW w:w="7520" w:type="pc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b/>
                <w:bCs/>
                <w:sz w:val="24"/>
                <w:szCs w:val="24"/>
                <w:lang w:eastAsia="ru-RU"/>
              </w:rPr>
              <w:t>4 491,30 руб.</w:t>
            </w:r>
          </w:p>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(увеличение на 88,06 руб.)</w:t>
            </w:r>
          </w:p>
        </w:tc>
      </w:tr>
      <w:tr w:rsidR="00C802A2" w:rsidRPr="00C802A2" w:rsidTr="00C802A2">
        <w:trPr>
          <w:trHeight w:val="240"/>
          <w:tblCellSpacing w:w="0" w:type="dxa"/>
        </w:trPr>
        <w:tc>
          <w:tcPr>
            <w:tcW w:w="2663" w:type="pc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Дети - инвалиды</w:t>
            </w:r>
          </w:p>
        </w:tc>
        <w:tc>
          <w:tcPr>
            <w:tcW w:w="7520" w:type="pct"/>
            <w:vMerge w:val="restar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b/>
                <w:bCs/>
                <w:sz w:val="24"/>
                <w:szCs w:val="24"/>
                <w:lang w:eastAsia="ru-RU"/>
              </w:rPr>
              <w:t>12 681,09 руб.</w:t>
            </w:r>
          </w:p>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 (увеличение на 248,65 руб.)</w:t>
            </w:r>
          </w:p>
        </w:tc>
      </w:tr>
      <w:tr w:rsidR="00C802A2" w:rsidRPr="00C802A2" w:rsidTr="00C802A2">
        <w:trPr>
          <w:trHeight w:val="240"/>
          <w:tblCellSpacing w:w="0" w:type="dxa"/>
        </w:trPr>
        <w:tc>
          <w:tcPr>
            <w:tcW w:w="2663" w:type="pc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Инвалиды I группы (с детства)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after="0" w:line="240" w:lineRule="auto"/>
              <w:rPr>
                <w:rFonts w:ascii="Times New Roman" w:eastAsia="Times New Roman" w:hAnsi="Times New Roman" w:cs="Times New Roman"/>
                <w:sz w:val="24"/>
                <w:szCs w:val="24"/>
                <w:lang w:eastAsia="ru-RU"/>
              </w:rPr>
            </w:pPr>
          </w:p>
        </w:tc>
      </w:tr>
      <w:tr w:rsidR="00C802A2" w:rsidRPr="00C802A2" w:rsidTr="00C802A2">
        <w:trPr>
          <w:trHeight w:val="510"/>
          <w:tblCellSpacing w:w="0" w:type="dxa"/>
        </w:trPr>
        <w:tc>
          <w:tcPr>
            <w:tcW w:w="2663" w:type="pc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Инвалиды II группы (с детства)</w:t>
            </w:r>
          </w:p>
        </w:tc>
        <w:tc>
          <w:tcPr>
            <w:tcW w:w="7520" w:type="pc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b/>
                <w:bCs/>
                <w:sz w:val="24"/>
                <w:szCs w:val="24"/>
                <w:lang w:eastAsia="ru-RU"/>
              </w:rPr>
              <w:t>10 567,73 руб.</w:t>
            </w:r>
          </w:p>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 (увеличение на 207,21 руб.)</w:t>
            </w:r>
          </w:p>
        </w:tc>
      </w:tr>
      <w:tr w:rsidR="00C802A2" w:rsidRPr="00C802A2" w:rsidTr="00C802A2">
        <w:trPr>
          <w:trHeight w:val="240"/>
          <w:tblCellSpacing w:w="0" w:type="dxa"/>
        </w:trPr>
        <w:tc>
          <w:tcPr>
            <w:tcW w:w="10184" w:type="pct"/>
            <w:gridSpan w:val="2"/>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02A2">
              <w:rPr>
                <w:rFonts w:ascii="Times New Roman" w:eastAsia="Times New Roman" w:hAnsi="Times New Roman" w:cs="Times New Roman"/>
                <w:b/>
                <w:bCs/>
                <w:i/>
                <w:iCs/>
                <w:sz w:val="24"/>
                <w:szCs w:val="24"/>
                <w:lang w:eastAsia="ru-RU"/>
              </w:rPr>
              <w:t>По случаю потери кормильца</w:t>
            </w:r>
          </w:p>
        </w:tc>
      </w:tr>
      <w:tr w:rsidR="00C802A2" w:rsidRPr="00C802A2" w:rsidTr="00C802A2">
        <w:trPr>
          <w:trHeight w:val="510"/>
          <w:tblCellSpacing w:w="0" w:type="dxa"/>
        </w:trPr>
        <w:tc>
          <w:tcPr>
            <w:tcW w:w="2663" w:type="pc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Дети до 18 лет, потерявшие одного родителя</w:t>
            </w:r>
          </w:p>
        </w:tc>
        <w:tc>
          <w:tcPr>
            <w:tcW w:w="7520" w:type="pc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b/>
                <w:bCs/>
                <w:sz w:val="24"/>
                <w:szCs w:val="24"/>
                <w:lang w:eastAsia="ru-RU"/>
              </w:rPr>
              <w:t>5 283,84 руб.</w:t>
            </w:r>
          </w:p>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(увеличение на 103,60 руб.)</w:t>
            </w:r>
          </w:p>
        </w:tc>
      </w:tr>
      <w:tr w:rsidR="00C802A2" w:rsidRPr="00C802A2" w:rsidTr="00C802A2">
        <w:trPr>
          <w:trHeight w:val="510"/>
          <w:tblCellSpacing w:w="0" w:type="dxa"/>
        </w:trPr>
        <w:tc>
          <w:tcPr>
            <w:tcW w:w="2663" w:type="pc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Дети, потерявшие обоих родителей (дети, умершей одинокой матери)</w:t>
            </w:r>
          </w:p>
        </w:tc>
        <w:tc>
          <w:tcPr>
            <w:tcW w:w="7520" w:type="pc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b/>
                <w:bCs/>
                <w:sz w:val="24"/>
                <w:szCs w:val="24"/>
                <w:lang w:eastAsia="ru-RU"/>
              </w:rPr>
              <w:t>10 567,73 руб.</w:t>
            </w:r>
          </w:p>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(увеличение на 207,21 руб.)</w:t>
            </w:r>
          </w:p>
        </w:tc>
      </w:tr>
      <w:tr w:rsidR="00C802A2" w:rsidRPr="00C802A2" w:rsidTr="00C802A2">
        <w:trPr>
          <w:trHeight w:val="240"/>
          <w:tblCellSpacing w:w="0" w:type="dxa"/>
        </w:trPr>
        <w:tc>
          <w:tcPr>
            <w:tcW w:w="10184" w:type="pct"/>
            <w:gridSpan w:val="2"/>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02A2">
              <w:rPr>
                <w:rFonts w:ascii="Times New Roman" w:eastAsia="Times New Roman" w:hAnsi="Times New Roman" w:cs="Times New Roman"/>
                <w:b/>
                <w:bCs/>
                <w:sz w:val="24"/>
                <w:szCs w:val="24"/>
                <w:lang w:eastAsia="ru-RU"/>
              </w:rPr>
              <w:t xml:space="preserve">Дети, оба родителя которых неизвестны </w:t>
            </w:r>
          </w:p>
        </w:tc>
      </w:tr>
      <w:tr w:rsidR="00C802A2" w:rsidRPr="00C802A2" w:rsidTr="00C802A2">
        <w:trPr>
          <w:trHeight w:val="525"/>
          <w:tblCellSpacing w:w="0" w:type="dxa"/>
        </w:trPr>
        <w:tc>
          <w:tcPr>
            <w:tcW w:w="2663" w:type="pc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Дети, оба родителя которых неизвестны</w:t>
            </w:r>
          </w:p>
        </w:tc>
        <w:tc>
          <w:tcPr>
            <w:tcW w:w="7520" w:type="pct"/>
            <w:tcBorders>
              <w:top w:val="outset" w:sz="6" w:space="0" w:color="auto"/>
              <w:left w:val="outset" w:sz="6" w:space="0" w:color="auto"/>
              <w:bottom w:val="outset" w:sz="6" w:space="0" w:color="auto"/>
              <w:right w:val="outset" w:sz="6" w:space="0" w:color="auto"/>
            </w:tcBorders>
            <w:vAlign w:val="center"/>
            <w:hideMark/>
          </w:tcPr>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b/>
                <w:bCs/>
                <w:sz w:val="24"/>
                <w:szCs w:val="24"/>
                <w:lang w:eastAsia="ru-RU"/>
              </w:rPr>
              <w:t>10 567,73 руб.</w:t>
            </w:r>
          </w:p>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(увеличение на 207,21 руб.)</w:t>
            </w:r>
          </w:p>
        </w:tc>
      </w:tr>
    </w:tbl>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 Одновременно увеличены все государственные пенсии, установленные по нормам Федерального закона «О государственном пенсионном обеспечении в Российской Федерации» (пенсии по инвалидности гражданам, ставшим инвалидами вследствие военной травмы, участникам Великой Отечественной войны, жителям блокадного Ленинграда, пенсии по случаю потери кормильца членам семей погибших военнослужащих, а также пенсии гражданам, пострадавшим вследствие техногенных и радиационных катастроф).</w:t>
      </w:r>
    </w:p>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lastRenderedPageBreak/>
        <w:t>На этот же индекс (1,02) увеличены размеры материального обеспечения гражданам Российской Федерации за особые заслуги перед Российской Федерацией и за работу в организациях ядерного оружейного комплекса Российской Федерации.</w:t>
      </w:r>
    </w:p>
    <w:p w:rsidR="00C802A2" w:rsidRPr="00C802A2" w:rsidRDefault="00C802A2" w:rsidP="00C802A2">
      <w:pPr>
        <w:spacing w:before="100" w:beforeAutospacing="1" w:after="100" w:afterAutospacing="1" w:line="240" w:lineRule="auto"/>
        <w:rPr>
          <w:rFonts w:ascii="Times New Roman" w:eastAsia="Times New Roman" w:hAnsi="Times New Roman" w:cs="Times New Roman"/>
          <w:sz w:val="24"/>
          <w:szCs w:val="24"/>
          <w:lang w:eastAsia="ru-RU"/>
        </w:rPr>
      </w:pPr>
      <w:r w:rsidRPr="00C802A2">
        <w:rPr>
          <w:rFonts w:ascii="Times New Roman" w:eastAsia="Times New Roman" w:hAnsi="Times New Roman" w:cs="Times New Roman"/>
          <w:sz w:val="24"/>
          <w:szCs w:val="24"/>
          <w:lang w:eastAsia="ru-RU"/>
        </w:rPr>
        <w:t>Индексация произведена всем получателям государственных и социальных пенсий, независимо от факта работы.</w:t>
      </w:r>
    </w:p>
    <w:p w:rsidR="00C802A2" w:rsidRDefault="00C802A2"/>
    <w:p w:rsidR="00C802A2" w:rsidRDefault="00C802A2"/>
    <w:p w:rsidR="00BF3EDD" w:rsidRDefault="00BF3EDD"/>
    <w:p w:rsidR="00BF3EDD" w:rsidRDefault="00BF3EDD"/>
    <w:p w:rsidR="00BF3EDD" w:rsidRDefault="00BF3EDD"/>
    <w:p w:rsidR="00BF3EDD" w:rsidRDefault="00BF3EDD"/>
    <w:p w:rsidR="00BF3EDD" w:rsidRDefault="00BF3EDD"/>
    <w:p w:rsidR="00BF3EDD" w:rsidRDefault="00BF3EDD"/>
    <w:p w:rsidR="00BF3EDD" w:rsidRDefault="00BF3EDD"/>
    <w:p w:rsidR="00BF3EDD" w:rsidRDefault="00BF3EDD"/>
    <w:p w:rsidR="00BF3EDD" w:rsidRDefault="00BF3EDD"/>
    <w:p w:rsidR="00BF3EDD" w:rsidRDefault="00BF3EDD"/>
    <w:p w:rsidR="00BF3EDD" w:rsidRDefault="00BF3EDD"/>
    <w:p w:rsidR="00BF3EDD" w:rsidRDefault="00BF3EDD"/>
    <w:p w:rsidR="00BF3EDD" w:rsidRDefault="00BF3EDD"/>
    <w:p w:rsidR="00BF3EDD" w:rsidRDefault="00BF3EDD"/>
    <w:p w:rsidR="00BF3EDD" w:rsidRDefault="00BF3EDD"/>
    <w:p w:rsidR="00BF3EDD" w:rsidRDefault="00BF3EDD"/>
    <w:p w:rsidR="00BF3EDD" w:rsidRDefault="00BF3EDD"/>
    <w:p w:rsidR="00BF3EDD" w:rsidRDefault="00BF3EDD"/>
    <w:p w:rsidR="00BF3EDD" w:rsidRDefault="00BF3EDD"/>
    <w:p w:rsidR="00BF3EDD" w:rsidRDefault="00BF3EDD"/>
    <w:p w:rsidR="00BF3EDD" w:rsidRDefault="00BF3EDD"/>
    <w:p w:rsidR="00BF3EDD" w:rsidRDefault="00BF3EDD"/>
    <w:p w:rsidR="00BF3EDD" w:rsidRDefault="00BF3EDD"/>
    <w:p w:rsidR="00BF3EDD" w:rsidRPr="00BF3EDD" w:rsidRDefault="00BF3EDD" w:rsidP="00BF3EDD">
      <w:pPr>
        <w:spacing w:after="0" w:line="240" w:lineRule="auto"/>
        <w:rPr>
          <w:rFonts w:ascii="Times New Roman" w:eastAsia="Times New Roman" w:hAnsi="Times New Roman" w:cs="Times New Roman"/>
          <w:b/>
          <w:i/>
          <w:sz w:val="24"/>
          <w:szCs w:val="24"/>
          <w:lang w:eastAsia="ru-RU"/>
        </w:rPr>
      </w:pPr>
      <w:r w:rsidRPr="00BF3EDD">
        <w:rPr>
          <w:rFonts w:ascii="Times New Roman" w:eastAsia="Times New Roman" w:hAnsi="Times New Roman" w:cs="Times New Roman"/>
          <w:b/>
          <w:i/>
          <w:sz w:val="24"/>
          <w:szCs w:val="24"/>
          <w:lang w:eastAsia="ru-RU"/>
        </w:rPr>
        <w:lastRenderedPageBreak/>
        <w:t>О праве пенсионера на выбор любой на его усмотрение доставочной организации</w:t>
      </w:r>
    </w:p>
    <w:p w:rsidR="00BF3EDD" w:rsidRPr="00BF3EDD" w:rsidRDefault="00BF3EDD" w:rsidP="00BF3EDD">
      <w:pPr>
        <w:spacing w:after="0"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color w:val="000000"/>
          <w:sz w:val="24"/>
          <w:szCs w:val="24"/>
          <w:lang w:eastAsia="ru-RU"/>
        </w:rPr>
        <w:t xml:space="preserve">Новости ОПФР </w:t>
      </w:r>
    </w:p>
    <w:p w:rsidR="00BF3EDD" w:rsidRPr="00BF3EDD" w:rsidRDefault="00BF3EDD" w:rsidP="00BF3EDD">
      <w:p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В соответствии с действующим законодательством доставка пенсии производится через кредитные организации, организации почтовой связи и иные организации, занимающиеся доставкой пенсий, с которыми территориальным органом Пенсионного фонда РФ заключены договоры.</w:t>
      </w:r>
    </w:p>
    <w:p w:rsidR="00BF3EDD" w:rsidRPr="00BF3EDD" w:rsidRDefault="00BF3EDD" w:rsidP="00BF3EDD">
      <w:p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Право выбора доставочной организации, принадлежит исключительно пенсионеру. Для доставки пенсии гражданин может выбрать как доставочную организацию, с которой у территориального органа ПФР договор заключен (список приведен ниже), так и организацию, с которой договор о доставке не заключен.</w:t>
      </w:r>
    </w:p>
    <w:p w:rsidR="00BF3EDD" w:rsidRPr="00BF3EDD" w:rsidRDefault="00BF3EDD" w:rsidP="00BF3EDD">
      <w:p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В случае выбора пенсионером организации, осуществляющей доставку, с которой у территориального органа ПФР договор не заключен, рассмотрение заявления пенсионера о доставке пенсии приостанавливается до заключения договора, но не более чем на три месяца, в течение которых территориальным органом ПФР будут предприниматься меры по заключению договора. При этом в заявлении о доставке пенсии пенсионером указывается доставочная организация, которая будет доставлять ему пенсию на период заключения договора.</w:t>
      </w:r>
    </w:p>
    <w:p w:rsidR="00BF3EDD" w:rsidRPr="00BF3EDD" w:rsidRDefault="00BF3EDD" w:rsidP="00BF3EDD">
      <w:p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При отказе организации, осуществляющей доставку, выбранной пенсионером, от заключения договора, территориальный орган информирует пенсионера об этом, а также сообщает о необходимости выбора другой организации, осуществляющей доставку.</w:t>
      </w:r>
    </w:p>
    <w:p w:rsidR="00BF3EDD" w:rsidRPr="00BF3EDD" w:rsidRDefault="00BF3EDD" w:rsidP="00BF3EDD">
      <w:p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Список организаций, осуществляющих доставку, с которыми заключены договоры:</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УФПС Воронежской области - филиал ФГУП «Почта России»</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ПАО «Сбербанк»</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АО «</w:t>
      </w:r>
      <w:proofErr w:type="spellStart"/>
      <w:r w:rsidRPr="00BF3EDD">
        <w:rPr>
          <w:rFonts w:ascii="Times New Roman" w:eastAsia="Times New Roman" w:hAnsi="Times New Roman" w:cs="Times New Roman"/>
          <w:sz w:val="24"/>
          <w:szCs w:val="24"/>
          <w:lang w:eastAsia="ru-RU"/>
        </w:rPr>
        <w:t>Россельхозбанк</w:t>
      </w:r>
      <w:proofErr w:type="spellEnd"/>
      <w:r w:rsidRPr="00BF3EDD">
        <w:rPr>
          <w:rFonts w:ascii="Times New Roman" w:eastAsia="Times New Roman" w:hAnsi="Times New Roman" w:cs="Times New Roman"/>
          <w:sz w:val="24"/>
          <w:szCs w:val="24"/>
          <w:lang w:eastAsia="ru-RU"/>
        </w:rPr>
        <w:t>»</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ПАО «Московский индустриальный Банк»</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ПАО «</w:t>
      </w:r>
      <w:proofErr w:type="spellStart"/>
      <w:r w:rsidRPr="00BF3EDD">
        <w:rPr>
          <w:rFonts w:ascii="Times New Roman" w:eastAsia="Times New Roman" w:hAnsi="Times New Roman" w:cs="Times New Roman"/>
          <w:sz w:val="24"/>
          <w:szCs w:val="24"/>
          <w:lang w:eastAsia="ru-RU"/>
        </w:rPr>
        <w:t>Акибанк</w:t>
      </w:r>
      <w:proofErr w:type="spellEnd"/>
      <w:r w:rsidRPr="00BF3EDD">
        <w:rPr>
          <w:rFonts w:ascii="Times New Roman" w:eastAsia="Times New Roman" w:hAnsi="Times New Roman" w:cs="Times New Roman"/>
          <w:sz w:val="24"/>
          <w:szCs w:val="24"/>
          <w:lang w:eastAsia="ru-RU"/>
        </w:rPr>
        <w:t>»</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ПАО «Росгосстрах Банк»</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ПАО «СКБ-Банк»</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ПАО «</w:t>
      </w:r>
      <w:proofErr w:type="spellStart"/>
      <w:r w:rsidRPr="00BF3EDD">
        <w:rPr>
          <w:rFonts w:ascii="Times New Roman" w:eastAsia="Times New Roman" w:hAnsi="Times New Roman" w:cs="Times New Roman"/>
          <w:sz w:val="24"/>
          <w:szCs w:val="24"/>
          <w:lang w:eastAsia="ru-RU"/>
        </w:rPr>
        <w:t>Совкомбанк</w:t>
      </w:r>
      <w:proofErr w:type="spellEnd"/>
      <w:r w:rsidRPr="00BF3EDD">
        <w:rPr>
          <w:rFonts w:ascii="Times New Roman" w:eastAsia="Times New Roman" w:hAnsi="Times New Roman" w:cs="Times New Roman"/>
          <w:sz w:val="24"/>
          <w:szCs w:val="24"/>
          <w:lang w:eastAsia="ru-RU"/>
        </w:rPr>
        <w:t>»</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ПАО «Почта Банк»</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АКБ «</w:t>
      </w:r>
      <w:proofErr w:type="spellStart"/>
      <w:r w:rsidRPr="00BF3EDD">
        <w:rPr>
          <w:rFonts w:ascii="Times New Roman" w:eastAsia="Times New Roman" w:hAnsi="Times New Roman" w:cs="Times New Roman"/>
          <w:sz w:val="24"/>
          <w:szCs w:val="24"/>
          <w:lang w:eastAsia="ru-RU"/>
        </w:rPr>
        <w:t>Инвестторгбанк</w:t>
      </w:r>
      <w:proofErr w:type="spellEnd"/>
      <w:r w:rsidRPr="00BF3EDD">
        <w:rPr>
          <w:rFonts w:ascii="Times New Roman" w:eastAsia="Times New Roman" w:hAnsi="Times New Roman" w:cs="Times New Roman"/>
          <w:sz w:val="24"/>
          <w:szCs w:val="24"/>
          <w:lang w:eastAsia="ru-RU"/>
        </w:rPr>
        <w:t>» ПАО</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ПАО КБ «Восточный Экспресс банк»</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ПАО Банк «ФК Открытие»</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АО «БИНБАНК ДИДЖИТАЛ»</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ПАО «</w:t>
      </w:r>
      <w:proofErr w:type="spellStart"/>
      <w:r w:rsidRPr="00BF3EDD">
        <w:rPr>
          <w:rFonts w:ascii="Times New Roman" w:eastAsia="Times New Roman" w:hAnsi="Times New Roman" w:cs="Times New Roman"/>
          <w:sz w:val="24"/>
          <w:szCs w:val="24"/>
          <w:lang w:eastAsia="ru-RU"/>
        </w:rPr>
        <w:t>Бинбанк</w:t>
      </w:r>
      <w:proofErr w:type="spellEnd"/>
      <w:r w:rsidRPr="00BF3EDD">
        <w:rPr>
          <w:rFonts w:ascii="Times New Roman" w:eastAsia="Times New Roman" w:hAnsi="Times New Roman" w:cs="Times New Roman"/>
          <w:sz w:val="24"/>
          <w:szCs w:val="24"/>
          <w:lang w:eastAsia="ru-RU"/>
        </w:rPr>
        <w:t>»</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ПАО «</w:t>
      </w:r>
      <w:proofErr w:type="spellStart"/>
      <w:r w:rsidRPr="00BF3EDD">
        <w:rPr>
          <w:rFonts w:ascii="Times New Roman" w:eastAsia="Times New Roman" w:hAnsi="Times New Roman" w:cs="Times New Roman"/>
          <w:sz w:val="24"/>
          <w:szCs w:val="24"/>
          <w:lang w:eastAsia="ru-RU"/>
        </w:rPr>
        <w:t>Курскпромбанк</w:t>
      </w:r>
      <w:proofErr w:type="spellEnd"/>
      <w:r w:rsidRPr="00BF3EDD">
        <w:rPr>
          <w:rFonts w:ascii="Times New Roman" w:eastAsia="Times New Roman" w:hAnsi="Times New Roman" w:cs="Times New Roman"/>
          <w:sz w:val="24"/>
          <w:szCs w:val="24"/>
          <w:lang w:eastAsia="ru-RU"/>
        </w:rPr>
        <w:t>»</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ПАО АКБ «Связь-Банк»</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ПАО «Промсвязьбанк»</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ПАО «</w:t>
      </w:r>
      <w:proofErr w:type="spellStart"/>
      <w:r w:rsidRPr="00BF3EDD">
        <w:rPr>
          <w:rFonts w:ascii="Times New Roman" w:eastAsia="Times New Roman" w:hAnsi="Times New Roman" w:cs="Times New Roman"/>
          <w:sz w:val="24"/>
          <w:szCs w:val="24"/>
          <w:lang w:eastAsia="ru-RU"/>
        </w:rPr>
        <w:t>Транскапиталбанк</w:t>
      </w:r>
      <w:proofErr w:type="spellEnd"/>
      <w:r w:rsidRPr="00BF3EDD">
        <w:rPr>
          <w:rFonts w:ascii="Times New Roman" w:eastAsia="Times New Roman" w:hAnsi="Times New Roman" w:cs="Times New Roman"/>
          <w:sz w:val="24"/>
          <w:szCs w:val="24"/>
          <w:lang w:eastAsia="ru-RU"/>
        </w:rPr>
        <w:t>»</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ПАО «РОСБАНК»</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ПАО «БАНК УРАЛСИБ»</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ПАО «Уральский банк реконструкции и развития»</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АКБ «Форштадт» (АО)</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ПАО «СДМ-Банк»</w:t>
      </w:r>
    </w:p>
    <w:p w:rsidR="00BF3EDD" w:rsidRPr="00BF3EDD" w:rsidRDefault="00BF3EDD" w:rsidP="00BF3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3EDD">
        <w:rPr>
          <w:rFonts w:ascii="Times New Roman" w:eastAsia="Times New Roman" w:hAnsi="Times New Roman" w:cs="Times New Roman"/>
          <w:sz w:val="24"/>
          <w:szCs w:val="24"/>
          <w:lang w:eastAsia="ru-RU"/>
        </w:rPr>
        <w:t>АО «Тинькофф Банк»</w:t>
      </w:r>
    </w:p>
    <w:p w:rsidR="00C802A2" w:rsidRDefault="00BF3EDD" w:rsidP="00BF3EDD">
      <w:pPr>
        <w:numPr>
          <w:ilvl w:val="0"/>
          <w:numId w:val="1"/>
        </w:numPr>
        <w:spacing w:before="100" w:beforeAutospacing="1" w:after="100" w:afterAutospacing="1" w:line="240" w:lineRule="auto"/>
      </w:pPr>
      <w:r w:rsidRPr="00BF3EDD">
        <w:rPr>
          <w:rFonts w:ascii="Times New Roman" w:eastAsia="Times New Roman" w:hAnsi="Times New Roman" w:cs="Times New Roman"/>
          <w:sz w:val="24"/>
          <w:szCs w:val="24"/>
          <w:lang w:eastAsia="ru-RU"/>
        </w:rPr>
        <w:t>ПАО «ВТБ»</w:t>
      </w:r>
      <w:bookmarkStart w:id="0" w:name="_GoBack"/>
      <w:bookmarkEnd w:id="0"/>
    </w:p>
    <w:sectPr w:rsidR="00C80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77BF1"/>
    <w:multiLevelType w:val="multilevel"/>
    <w:tmpl w:val="446C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6E"/>
    <w:rsid w:val="000D176E"/>
    <w:rsid w:val="00BF3EDD"/>
    <w:rsid w:val="00C802A2"/>
    <w:rsid w:val="00E76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6603">
      <w:bodyDiv w:val="1"/>
      <w:marLeft w:val="0"/>
      <w:marRight w:val="0"/>
      <w:marTop w:val="0"/>
      <w:marBottom w:val="0"/>
      <w:divBdr>
        <w:top w:val="none" w:sz="0" w:space="0" w:color="auto"/>
        <w:left w:val="none" w:sz="0" w:space="0" w:color="auto"/>
        <w:bottom w:val="none" w:sz="0" w:space="0" w:color="auto"/>
        <w:right w:val="none" w:sz="0" w:space="0" w:color="auto"/>
      </w:divBdr>
      <w:divsChild>
        <w:div w:id="1202328594">
          <w:marLeft w:val="0"/>
          <w:marRight w:val="0"/>
          <w:marTop w:val="0"/>
          <w:marBottom w:val="0"/>
          <w:divBdr>
            <w:top w:val="none" w:sz="0" w:space="0" w:color="auto"/>
            <w:left w:val="none" w:sz="0" w:space="0" w:color="auto"/>
            <w:bottom w:val="none" w:sz="0" w:space="0" w:color="auto"/>
            <w:right w:val="none" w:sz="0" w:space="0" w:color="auto"/>
          </w:divBdr>
          <w:divsChild>
            <w:div w:id="1403333625">
              <w:marLeft w:val="0"/>
              <w:marRight w:val="0"/>
              <w:marTop w:val="0"/>
              <w:marBottom w:val="0"/>
              <w:divBdr>
                <w:top w:val="none" w:sz="0" w:space="0" w:color="auto"/>
                <w:left w:val="none" w:sz="0" w:space="0" w:color="auto"/>
                <w:bottom w:val="none" w:sz="0" w:space="0" w:color="auto"/>
                <w:right w:val="none" w:sz="0" w:space="0" w:color="auto"/>
              </w:divBdr>
            </w:div>
            <w:div w:id="1978491849">
              <w:marLeft w:val="0"/>
              <w:marRight w:val="0"/>
              <w:marTop w:val="0"/>
              <w:marBottom w:val="0"/>
              <w:divBdr>
                <w:top w:val="none" w:sz="0" w:space="0" w:color="auto"/>
                <w:left w:val="none" w:sz="0" w:space="0" w:color="auto"/>
                <w:bottom w:val="none" w:sz="0" w:space="0" w:color="auto"/>
                <w:right w:val="none" w:sz="0" w:space="0" w:color="auto"/>
              </w:divBdr>
            </w:div>
          </w:divsChild>
        </w:div>
        <w:div w:id="1741556257">
          <w:marLeft w:val="0"/>
          <w:marRight w:val="0"/>
          <w:marTop w:val="0"/>
          <w:marBottom w:val="0"/>
          <w:divBdr>
            <w:top w:val="none" w:sz="0" w:space="0" w:color="auto"/>
            <w:left w:val="none" w:sz="0" w:space="0" w:color="auto"/>
            <w:bottom w:val="none" w:sz="0" w:space="0" w:color="auto"/>
            <w:right w:val="none" w:sz="0" w:space="0" w:color="auto"/>
          </w:divBdr>
        </w:div>
      </w:divsChild>
    </w:div>
    <w:div w:id="5652611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166">
          <w:marLeft w:val="0"/>
          <w:marRight w:val="0"/>
          <w:marTop w:val="0"/>
          <w:marBottom w:val="0"/>
          <w:divBdr>
            <w:top w:val="none" w:sz="0" w:space="0" w:color="auto"/>
            <w:left w:val="none" w:sz="0" w:space="0" w:color="auto"/>
            <w:bottom w:val="none" w:sz="0" w:space="0" w:color="auto"/>
            <w:right w:val="none" w:sz="0" w:space="0" w:color="auto"/>
          </w:divBdr>
          <w:divsChild>
            <w:div w:id="2099279721">
              <w:marLeft w:val="0"/>
              <w:marRight w:val="0"/>
              <w:marTop w:val="0"/>
              <w:marBottom w:val="0"/>
              <w:divBdr>
                <w:top w:val="none" w:sz="0" w:space="0" w:color="auto"/>
                <w:left w:val="none" w:sz="0" w:space="0" w:color="auto"/>
                <w:bottom w:val="none" w:sz="0" w:space="0" w:color="auto"/>
                <w:right w:val="none" w:sz="0" w:space="0" w:color="auto"/>
              </w:divBdr>
            </w:div>
            <w:div w:id="678392316">
              <w:marLeft w:val="0"/>
              <w:marRight w:val="0"/>
              <w:marTop w:val="0"/>
              <w:marBottom w:val="0"/>
              <w:divBdr>
                <w:top w:val="none" w:sz="0" w:space="0" w:color="auto"/>
                <w:left w:val="none" w:sz="0" w:space="0" w:color="auto"/>
                <w:bottom w:val="none" w:sz="0" w:space="0" w:color="auto"/>
                <w:right w:val="none" w:sz="0" w:space="0" w:color="auto"/>
              </w:divBdr>
            </w:div>
          </w:divsChild>
        </w:div>
        <w:div w:id="383716941">
          <w:marLeft w:val="0"/>
          <w:marRight w:val="0"/>
          <w:marTop w:val="0"/>
          <w:marBottom w:val="0"/>
          <w:divBdr>
            <w:top w:val="none" w:sz="0" w:space="0" w:color="auto"/>
            <w:left w:val="none" w:sz="0" w:space="0" w:color="auto"/>
            <w:bottom w:val="none" w:sz="0" w:space="0" w:color="auto"/>
            <w:right w:val="none" w:sz="0" w:space="0" w:color="auto"/>
          </w:divBdr>
        </w:div>
      </w:divsChild>
    </w:div>
    <w:div w:id="1015225996">
      <w:bodyDiv w:val="1"/>
      <w:marLeft w:val="0"/>
      <w:marRight w:val="0"/>
      <w:marTop w:val="0"/>
      <w:marBottom w:val="0"/>
      <w:divBdr>
        <w:top w:val="none" w:sz="0" w:space="0" w:color="auto"/>
        <w:left w:val="none" w:sz="0" w:space="0" w:color="auto"/>
        <w:bottom w:val="none" w:sz="0" w:space="0" w:color="auto"/>
        <w:right w:val="none" w:sz="0" w:space="0" w:color="auto"/>
      </w:divBdr>
      <w:divsChild>
        <w:div w:id="1118987946">
          <w:marLeft w:val="0"/>
          <w:marRight w:val="0"/>
          <w:marTop w:val="0"/>
          <w:marBottom w:val="0"/>
          <w:divBdr>
            <w:top w:val="none" w:sz="0" w:space="0" w:color="auto"/>
            <w:left w:val="none" w:sz="0" w:space="0" w:color="auto"/>
            <w:bottom w:val="none" w:sz="0" w:space="0" w:color="auto"/>
            <w:right w:val="none" w:sz="0" w:space="0" w:color="auto"/>
          </w:divBdr>
          <w:divsChild>
            <w:div w:id="1152526507">
              <w:marLeft w:val="0"/>
              <w:marRight w:val="0"/>
              <w:marTop w:val="0"/>
              <w:marBottom w:val="0"/>
              <w:divBdr>
                <w:top w:val="none" w:sz="0" w:space="0" w:color="auto"/>
                <w:left w:val="none" w:sz="0" w:space="0" w:color="auto"/>
                <w:bottom w:val="none" w:sz="0" w:space="0" w:color="auto"/>
                <w:right w:val="none" w:sz="0" w:space="0" w:color="auto"/>
              </w:divBdr>
            </w:div>
            <w:div w:id="941497441">
              <w:marLeft w:val="0"/>
              <w:marRight w:val="0"/>
              <w:marTop w:val="0"/>
              <w:marBottom w:val="0"/>
              <w:divBdr>
                <w:top w:val="none" w:sz="0" w:space="0" w:color="auto"/>
                <w:left w:val="none" w:sz="0" w:space="0" w:color="auto"/>
                <w:bottom w:val="none" w:sz="0" w:space="0" w:color="auto"/>
                <w:right w:val="none" w:sz="0" w:space="0" w:color="auto"/>
              </w:divBdr>
            </w:div>
          </w:divsChild>
        </w:div>
        <w:div w:id="930967027">
          <w:marLeft w:val="0"/>
          <w:marRight w:val="0"/>
          <w:marTop w:val="0"/>
          <w:marBottom w:val="0"/>
          <w:divBdr>
            <w:top w:val="none" w:sz="0" w:space="0" w:color="auto"/>
            <w:left w:val="none" w:sz="0" w:space="0" w:color="auto"/>
            <w:bottom w:val="none" w:sz="0" w:space="0" w:color="auto"/>
            <w:right w:val="none" w:sz="0" w:space="0" w:color="auto"/>
          </w:divBdr>
        </w:div>
      </w:divsChild>
    </w:div>
    <w:div w:id="2044013917">
      <w:bodyDiv w:val="1"/>
      <w:marLeft w:val="0"/>
      <w:marRight w:val="0"/>
      <w:marTop w:val="0"/>
      <w:marBottom w:val="0"/>
      <w:divBdr>
        <w:top w:val="none" w:sz="0" w:space="0" w:color="auto"/>
        <w:left w:val="none" w:sz="0" w:space="0" w:color="auto"/>
        <w:bottom w:val="none" w:sz="0" w:space="0" w:color="auto"/>
        <w:right w:val="none" w:sz="0" w:space="0" w:color="auto"/>
      </w:divBdr>
      <w:divsChild>
        <w:div w:id="1814180513">
          <w:marLeft w:val="0"/>
          <w:marRight w:val="0"/>
          <w:marTop w:val="0"/>
          <w:marBottom w:val="0"/>
          <w:divBdr>
            <w:top w:val="none" w:sz="0" w:space="0" w:color="auto"/>
            <w:left w:val="none" w:sz="0" w:space="0" w:color="auto"/>
            <w:bottom w:val="none" w:sz="0" w:space="0" w:color="auto"/>
            <w:right w:val="none" w:sz="0" w:space="0" w:color="auto"/>
          </w:divBdr>
          <w:divsChild>
            <w:div w:id="846746578">
              <w:marLeft w:val="0"/>
              <w:marRight w:val="0"/>
              <w:marTop w:val="0"/>
              <w:marBottom w:val="0"/>
              <w:divBdr>
                <w:top w:val="none" w:sz="0" w:space="0" w:color="auto"/>
                <w:left w:val="none" w:sz="0" w:space="0" w:color="auto"/>
                <w:bottom w:val="none" w:sz="0" w:space="0" w:color="auto"/>
                <w:right w:val="none" w:sz="0" w:space="0" w:color="auto"/>
              </w:divBdr>
            </w:div>
            <w:div w:id="922686765">
              <w:marLeft w:val="0"/>
              <w:marRight w:val="0"/>
              <w:marTop w:val="0"/>
              <w:marBottom w:val="0"/>
              <w:divBdr>
                <w:top w:val="none" w:sz="0" w:space="0" w:color="auto"/>
                <w:left w:val="none" w:sz="0" w:space="0" w:color="auto"/>
                <w:bottom w:val="none" w:sz="0" w:space="0" w:color="auto"/>
                <w:right w:val="none" w:sz="0" w:space="0" w:color="auto"/>
              </w:divBdr>
            </w:div>
          </w:divsChild>
        </w:div>
        <w:div w:id="371921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2019-03-27T12:21:00Z</dcterms:created>
  <dcterms:modified xsi:type="dcterms:W3CDTF">2019-04-03T09:19:00Z</dcterms:modified>
</cp:coreProperties>
</file>