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7" w:rsidRPr="0032467F" w:rsidRDefault="00D16727" w:rsidP="00D16727">
      <w:pPr>
        <w:spacing w:after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>УТВЕРЖДЕН:</w:t>
      </w:r>
    </w:p>
    <w:p w:rsidR="00D16727" w:rsidRPr="0032467F" w:rsidRDefault="00D16727" w:rsidP="00D16727">
      <w:pPr>
        <w:spacing w:after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727" w:rsidRPr="0032467F" w:rsidRDefault="00D16727" w:rsidP="00D1672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D16727" w:rsidRPr="0032467F" w:rsidRDefault="00D16727" w:rsidP="00D1672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D16727" w:rsidRPr="0032467F" w:rsidRDefault="00D16727" w:rsidP="00D1672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Грибановского     </w:t>
      </w:r>
    </w:p>
    <w:p w:rsidR="00D16727" w:rsidRPr="0032467F" w:rsidRDefault="00D16727" w:rsidP="00D16727">
      <w:pPr>
        <w:spacing w:after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D16727" w:rsidRPr="009C5B62" w:rsidRDefault="00D16727" w:rsidP="00D167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4371A5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D16727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Pr="0032467F" w:rsidRDefault="00D16727" w:rsidP="00D1672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D16727" w:rsidRPr="0032467F" w:rsidRDefault="00D16727" w:rsidP="00D167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D16727" w:rsidRDefault="00D16727" w:rsidP="00D167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1949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D16727" w:rsidRDefault="00D16727" w:rsidP="00D16727">
      <w:pPr>
        <w:spacing w:after="0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5B62">
        <w:rPr>
          <w:rFonts w:ascii="Times New Roman" w:hAnsi="Times New Roman"/>
          <w:b/>
          <w:color w:val="000000"/>
          <w:sz w:val="28"/>
          <w:szCs w:val="28"/>
        </w:rPr>
        <w:t>Стандарт внешнего муниципального</w:t>
      </w:r>
      <w:r w:rsidR="004D608B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</w:t>
      </w:r>
      <w:r w:rsidRPr="009C5B62">
        <w:rPr>
          <w:rFonts w:ascii="Times New Roman" w:hAnsi="Times New Roman"/>
          <w:b/>
          <w:color w:val="000000"/>
          <w:sz w:val="28"/>
          <w:szCs w:val="28"/>
        </w:rPr>
        <w:t xml:space="preserve"> контроля</w:t>
      </w:r>
    </w:p>
    <w:p w:rsidR="00D16727" w:rsidRPr="009C5B62" w:rsidRDefault="00D16727" w:rsidP="00D1672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727" w:rsidRPr="009C5B62" w:rsidRDefault="00D16727" w:rsidP="00D16727">
      <w:pPr>
        <w:widowControl w:val="0"/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9C5B6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</w:t>
      </w:r>
      <w:r w:rsidR="00A026A5" w:rsidRPr="00A026A5">
        <w:rPr>
          <w:rFonts w:ascii="Times New Roman" w:hAnsi="Times New Roman"/>
          <w:b/>
          <w:sz w:val="28"/>
          <w:szCs w:val="28"/>
        </w:rPr>
        <w:t>Последующий контроль исполнения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бюджета Грибановского муниципального района</w:t>
      </w:r>
      <w:r w:rsidRPr="009C5B6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»</w:t>
      </w:r>
    </w:p>
    <w:p w:rsidR="00D16727" w:rsidRPr="009C5B62" w:rsidRDefault="00D16727" w:rsidP="00D1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727" w:rsidRPr="009C5B62" w:rsidRDefault="00D16727" w:rsidP="00D1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Pr="009C5B62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27" w:rsidRDefault="00D16727" w:rsidP="00D1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A7" w:rsidRPr="004B5BA7" w:rsidRDefault="004B5BA7" w:rsidP="004B5B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BA7">
        <w:rPr>
          <w:rFonts w:ascii="Times New Roman" w:hAnsi="Times New Roman"/>
          <w:b/>
          <w:sz w:val="24"/>
          <w:szCs w:val="24"/>
        </w:rPr>
        <w:t>Начало действия: ___.___.2022 г.</w:t>
      </w:r>
    </w:p>
    <w:p w:rsidR="00D16727" w:rsidRDefault="00D16727" w:rsidP="004B5BA7">
      <w:pPr>
        <w:pStyle w:val="ConsPlusNormal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Грибановский</w:t>
      </w:r>
      <w:r w:rsidRPr="009C5B62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9C5B6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16727" w:rsidRPr="00627EF6" w:rsidRDefault="00D16727" w:rsidP="00D16727">
      <w:pPr>
        <w:suppressAutoHyphens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470C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D16727" w:rsidRPr="00627EF6" w:rsidRDefault="00D16727" w:rsidP="00D16727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6727" w:rsidRPr="00627EF6" w:rsidRDefault="00D16727" w:rsidP="00D16727">
      <w:pPr>
        <w:tabs>
          <w:tab w:val="right" w:leader="dot" w:pos="8931"/>
        </w:tabs>
        <w:spacing w:after="0"/>
        <w:jc w:val="both"/>
        <w:rPr>
          <w:rFonts w:eastAsia="Times New Roman"/>
          <w:noProof/>
          <w:sz w:val="28"/>
          <w:szCs w:val="28"/>
          <w:lang w:eastAsia="ru-RU"/>
        </w:rPr>
      </w:pPr>
      <w:r w:rsidRPr="00C83C38">
        <w:rPr>
          <w:rFonts w:ascii="Times New Roman" w:eastAsia="Times New Roman" w:hAnsi="Times New Roman"/>
          <w:sz w:val="28"/>
          <w:szCs w:val="28"/>
        </w:rPr>
        <w:fldChar w:fldCharType="begin"/>
      </w:r>
      <w:r w:rsidRPr="00627EF6">
        <w:rPr>
          <w:rFonts w:ascii="Times New Roman" w:eastAsia="Times New Roman" w:hAnsi="Times New Roman"/>
          <w:sz w:val="28"/>
          <w:szCs w:val="28"/>
        </w:rPr>
        <w:instrText xml:space="preserve"> TOC \o "1-3" \h \z \u </w:instrText>
      </w:r>
      <w:r w:rsidRPr="00C83C38">
        <w:rPr>
          <w:rFonts w:ascii="Times New Roman" w:eastAsia="Times New Roman" w:hAnsi="Times New Roman"/>
          <w:sz w:val="28"/>
          <w:szCs w:val="28"/>
        </w:rPr>
        <w:fldChar w:fldCharType="separate"/>
      </w:r>
      <w:hyperlink w:anchor="_Toc423596217" w:history="1">
        <w:r w:rsidRPr="00C83C38">
          <w:rPr>
            <w:rFonts w:ascii="Times New Roman" w:eastAsia="Times New Roman" w:hAnsi="Times New Roman"/>
            <w:noProof/>
            <w:sz w:val="28"/>
            <w:szCs w:val="28"/>
          </w:rPr>
          <w:t>1. Общие положения</w:t>
        </w:r>
        <w:r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eastAsia="Times New Roman" w:hAnsi="Times New Roman"/>
            <w:noProof/>
            <w:webHidden/>
            <w:sz w:val="28"/>
            <w:szCs w:val="28"/>
          </w:rPr>
          <w:t>3</w:t>
        </w:r>
      </w:hyperlink>
    </w:p>
    <w:p w:rsidR="00D16727" w:rsidRPr="00627EF6" w:rsidRDefault="004371A5" w:rsidP="00D16727">
      <w:pPr>
        <w:tabs>
          <w:tab w:val="right" w:leader="dot" w:pos="8931"/>
        </w:tabs>
        <w:spacing w:after="0"/>
        <w:jc w:val="both"/>
        <w:rPr>
          <w:rFonts w:eastAsia="Times New Roman"/>
          <w:noProof/>
          <w:sz w:val="28"/>
          <w:szCs w:val="28"/>
          <w:lang w:eastAsia="ru-RU"/>
        </w:rPr>
      </w:pPr>
      <w:hyperlink w:anchor="_Toc423596218" w:history="1">
        <w:r w:rsidR="00D16727" w:rsidRPr="00C83C38">
          <w:rPr>
            <w:rFonts w:ascii="Times New Roman" w:eastAsia="Times New Roman" w:hAnsi="Times New Roman"/>
            <w:noProof/>
            <w:sz w:val="28"/>
            <w:szCs w:val="28"/>
          </w:rPr>
          <w:t>2. Цель, задачи, предмет и объекты внешней проверки</w:t>
        </w:r>
        <w:r w:rsidR="00D16727"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="00D16727">
          <w:rPr>
            <w:rFonts w:ascii="Times New Roman" w:eastAsia="Times New Roman" w:hAnsi="Times New Roman"/>
            <w:noProof/>
            <w:webHidden/>
            <w:sz w:val="28"/>
            <w:szCs w:val="28"/>
          </w:rPr>
          <w:t>5</w:t>
        </w:r>
      </w:hyperlink>
    </w:p>
    <w:p w:rsidR="00D16727" w:rsidRPr="00627EF6" w:rsidRDefault="004371A5" w:rsidP="00D16727">
      <w:pPr>
        <w:tabs>
          <w:tab w:val="right" w:leader="dot" w:pos="8931"/>
        </w:tabs>
        <w:spacing w:after="0"/>
        <w:jc w:val="both"/>
        <w:rPr>
          <w:rFonts w:eastAsia="Times New Roman"/>
          <w:noProof/>
          <w:sz w:val="28"/>
          <w:szCs w:val="28"/>
          <w:lang w:eastAsia="ru-RU"/>
        </w:rPr>
      </w:pPr>
      <w:hyperlink w:anchor="_Toc423596219" w:history="1">
        <w:r w:rsidR="00D16727" w:rsidRPr="00C83C38">
          <w:rPr>
            <w:rFonts w:ascii="Times New Roman" w:eastAsia="Times New Roman" w:hAnsi="Times New Roman"/>
            <w:noProof/>
            <w:sz w:val="28"/>
            <w:szCs w:val="28"/>
          </w:rPr>
          <w:t>3. Источники информации и сроки проведения внешней проверки</w:t>
        </w:r>
        <w:r w:rsidR="00D16727"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="00D16727">
          <w:rPr>
            <w:rFonts w:ascii="Times New Roman" w:eastAsia="Times New Roman" w:hAnsi="Times New Roman"/>
            <w:noProof/>
            <w:webHidden/>
            <w:sz w:val="28"/>
            <w:szCs w:val="28"/>
          </w:rPr>
          <w:t>7</w:t>
        </w:r>
      </w:hyperlink>
    </w:p>
    <w:p w:rsidR="00D16727" w:rsidRPr="00627EF6" w:rsidRDefault="004371A5" w:rsidP="00D16727">
      <w:pPr>
        <w:tabs>
          <w:tab w:val="right" w:leader="dot" w:pos="8931"/>
        </w:tabs>
        <w:spacing w:after="0"/>
        <w:jc w:val="both"/>
        <w:rPr>
          <w:rFonts w:eastAsia="Times New Roman"/>
          <w:noProof/>
          <w:sz w:val="28"/>
          <w:szCs w:val="28"/>
          <w:lang w:eastAsia="ru-RU"/>
        </w:rPr>
      </w:pPr>
      <w:hyperlink w:anchor="_Toc423596220" w:history="1">
        <w:r w:rsidR="00D16727" w:rsidRPr="00C83C38">
          <w:rPr>
            <w:rFonts w:ascii="Times New Roman" w:eastAsia="Times New Roman" w:hAnsi="Times New Roman"/>
            <w:noProof/>
            <w:sz w:val="28"/>
            <w:szCs w:val="28"/>
          </w:rPr>
          <w:t>4. Содержание внешней проверки</w:t>
        </w:r>
        <w:r w:rsidR="00D16727"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="00D16727">
          <w:rPr>
            <w:rFonts w:ascii="Times New Roman" w:eastAsia="Times New Roman" w:hAnsi="Times New Roman"/>
            <w:noProof/>
            <w:webHidden/>
            <w:sz w:val="28"/>
            <w:szCs w:val="28"/>
          </w:rPr>
          <w:t>8</w:t>
        </w:r>
      </w:hyperlink>
    </w:p>
    <w:p w:rsidR="00D16727" w:rsidRPr="00627EF6" w:rsidRDefault="004371A5" w:rsidP="00D16727">
      <w:pPr>
        <w:tabs>
          <w:tab w:val="right" w:leader="dot" w:pos="8931"/>
        </w:tabs>
        <w:spacing w:after="0"/>
        <w:jc w:val="both"/>
        <w:rPr>
          <w:rFonts w:eastAsia="Times New Roman"/>
          <w:noProof/>
          <w:sz w:val="28"/>
          <w:szCs w:val="28"/>
          <w:lang w:eastAsia="ru-RU"/>
        </w:rPr>
      </w:pPr>
      <w:hyperlink w:anchor="_Toc423596221" w:history="1">
        <w:r w:rsidR="00D16727" w:rsidRPr="00C83C38">
          <w:rPr>
            <w:rFonts w:ascii="Times New Roman" w:eastAsia="Times New Roman" w:hAnsi="Times New Roman"/>
            <w:noProof/>
            <w:sz w:val="28"/>
            <w:szCs w:val="28"/>
          </w:rPr>
          <w:t>5. Организация внешней проверки бюджета</w:t>
        </w:r>
        <w:r w:rsidR="00D16727"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="00D16727">
          <w:rPr>
            <w:rFonts w:ascii="Times New Roman" w:eastAsia="Times New Roman" w:hAnsi="Times New Roman"/>
            <w:noProof/>
            <w:webHidden/>
            <w:sz w:val="28"/>
            <w:szCs w:val="28"/>
          </w:rPr>
          <w:t>10</w:t>
        </w:r>
      </w:hyperlink>
    </w:p>
    <w:p w:rsidR="00D16727" w:rsidRPr="00627EF6" w:rsidRDefault="004371A5" w:rsidP="00D16727">
      <w:pPr>
        <w:tabs>
          <w:tab w:val="right" w:leader="dot" w:pos="8931"/>
        </w:tabs>
        <w:spacing w:after="0"/>
        <w:jc w:val="both"/>
        <w:rPr>
          <w:rFonts w:eastAsia="Times New Roman"/>
          <w:noProof/>
          <w:sz w:val="28"/>
          <w:szCs w:val="28"/>
          <w:lang w:eastAsia="ru-RU"/>
        </w:rPr>
      </w:pPr>
      <w:hyperlink w:anchor="_Toc423596222" w:history="1">
        <w:r w:rsidR="00D16727" w:rsidRPr="00C83C38">
          <w:rPr>
            <w:rFonts w:ascii="Times New Roman" w:eastAsia="Times New Roman" w:hAnsi="Times New Roman"/>
            <w:noProof/>
            <w:sz w:val="28"/>
            <w:szCs w:val="28"/>
          </w:rPr>
          <w:t>6. Подготовка заключения по результатам внешней проверки</w:t>
        </w:r>
        <w:r w:rsidR="00D16727"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="00D16727">
          <w:rPr>
            <w:rFonts w:ascii="Times New Roman" w:eastAsia="Times New Roman" w:hAnsi="Times New Roman"/>
            <w:noProof/>
            <w:webHidden/>
            <w:sz w:val="28"/>
            <w:szCs w:val="28"/>
          </w:rPr>
          <w:t>12</w:t>
        </w:r>
      </w:hyperlink>
    </w:p>
    <w:p w:rsidR="00D16727" w:rsidRPr="00627EF6" w:rsidRDefault="004371A5" w:rsidP="00D16727">
      <w:pPr>
        <w:tabs>
          <w:tab w:val="right" w:leader="dot" w:pos="8931"/>
        </w:tabs>
        <w:spacing w:after="0"/>
        <w:jc w:val="both"/>
        <w:rPr>
          <w:rFonts w:eastAsia="Times New Roman"/>
          <w:noProof/>
          <w:sz w:val="28"/>
          <w:szCs w:val="28"/>
          <w:lang w:eastAsia="ru-RU"/>
        </w:rPr>
      </w:pPr>
      <w:hyperlink w:anchor="_Toc423596223" w:history="1">
        <w:r w:rsidR="00D16727" w:rsidRPr="00C83C38">
          <w:rPr>
            <w:rFonts w:ascii="Times New Roman" w:eastAsia="Times New Roman" w:hAnsi="Times New Roman"/>
            <w:noProof/>
            <w:sz w:val="28"/>
            <w:szCs w:val="28"/>
          </w:rPr>
          <w:t>7. Порядок рассмотрения и направления результатов внешней проверки</w:t>
        </w:r>
        <w:r w:rsidR="00D16727"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="00D16727">
          <w:rPr>
            <w:rFonts w:ascii="Times New Roman" w:eastAsia="Times New Roman" w:hAnsi="Times New Roman"/>
            <w:noProof/>
            <w:webHidden/>
            <w:sz w:val="28"/>
            <w:szCs w:val="28"/>
          </w:rPr>
          <w:t xml:space="preserve"> </w:t>
        </w:r>
        <w:r w:rsidR="00D16727" w:rsidRPr="00627EF6">
          <w:rPr>
            <w:rFonts w:ascii="Times New Roman" w:eastAsia="Times New Roman" w:hAnsi="Times New Roman"/>
            <w:noProof/>
            <w:webHidden/>
            <w:sz w:val="28"/>
            <w:szCs w:val="28"/>
          </w:rPr>
          <w:t>1</w:t>
        </w:r>
        <w:r w:rsidR="00D16727">
          <w:rPr>
            <w:rFonts w:ascii="Times New Roman" w:eastAsia="Times New Roman" w:hAnsi="Times New Roman"/>
            <w:noProof/>
            <w:webHidden/>
            <w:sz w:val="28"/>
            <w:szCs w:val="28"/>
          </w:rPr>
          <w:t>5</w:t>
        </w:r>
      </w:hyperlink>
    </w:p>
    <w:p w:rsidR="00D16727" w:rsidRPr="00C83C38" w:rsidRDefault="00D16727" w:rsidP="00D1672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3C38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727" w:rsidRDefault="00D16727" w:rsidP="00D16727">
      <w:pPr>
        <w:keepNext/>
        <w:suppressAutoHyphens/>
        <w:spacing w:after="0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1. </w:t>
      </w:r>
      <w:bookmarkStart w:id="1" w:name="_Toc423596217"/>
      <w:r w:rsidRPr="00C83C38">
        <w:rPr>
          <w:rFonts w:ascii="Times New Roman" w:hAnsi="Times New Roman"/>
          <w:b/>
          <w:bCs/>
          <w:kern w:val="32"/>
          <w:sz w:val="28"/>
          <w:szCs w:val="28"/>
        </w:rPr>
        <w:t xml:space="preserve">Общие </w:t>
      </w:r>
      <w:r w:rsidRPr="00C83C38">
        <w:rPr>
          <w:rFonts w:ascii="Times New Roman" w:eastAsia="Times New Roman" w:hAnsi="Times New Roman"/>
          <w:b/>
          <w:sz w:val="28"/>
          <w:szCs w:val="28"/>
        </w:rPr>
        <w:t>положения</w:t>
      </w:r>
      <w:bookmarkEnd w:id="1"/>
    </w:p>
    <w:p w:rsidR="00D16727" w:rsidRPr="00C83C38" w:rsidRDefault="00D16727" w:rsidP="00D16727">
      <w:pPr>
        <w:keepNext/>
        <w:suppressAutoHyphens/>
        <w:spacing w:after="0"/>
        <w:ind w:hanging="432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Стандарт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онтрольно-счетной </w:t>
      </w:r>
      <w:r>
        <w:rPr>
          <w:rFonts w:ascii="Times New Roman" w:eastAsia="Times New Roman" w:hAnsi="Times New Roman"/>
          <w:sz w:val="28"/>
          <w:szCs w:val="28"/>
        </w:rPr>
        <w:t>комиссии 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«</w:t>
      </w:r>
      <w:r w:rsidR="00A026A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Последующий контроль</w:t>
      </w:r>
      <w:r w:rsidRPr="00C83C3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исполнении бюджета 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>» (далее - Стандарт) разработан с учетом положений: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статей 157, 265, глав 20, 21 Бюджетного кодекса Российской Федерации (далее - Бюджетный кодекс, БК РФ);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83C38">
        <w:rPr>
          <w:rFonts w:ascii="Times New Roman" w:eastAsia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eastAsia="Times New Roman" w:hAnsi="Times New Roman"/>
          <w:sz w:val="28"/>
          <w:szCs w:val="28"/>
        </w:rPr>
        <w:t>Грибановском муниципальном районе Воронежской области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(решение </w:t>
      </w:r>
      <w:r>
        <w:rPr>
          <w:rFonts w:ascii="Times New Roman" w:eastAsia="Times New Roman" w:hAnsi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25.12</w:t>
      </w:r>
      <w:r w:rsidRPr="00C83C38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154</w:t>
      </w:r>
      <w:r w:rsidRPr="00C83C38">
        <w:rPr>
          <w:rFonts w:ascii="Times New Roman" w:eastAsia="Times New Roman" w:hAnsi="Times New Roman"/>
          <w:sz w:val="28"/>
          <w:szCs w:val="28"/>
        </w:rPr>
        <w:t>);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Положения о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онтрольно-счетной </w:t>
      </w:r>
      <w:r>
        <w:rPr>
          <w:rFonts w:ascii="Times New Roman" w:eastAsia="Times New Roman" w:hAnsi="Times New Roman"/>
          <w:sz w:val="28"/>
          <w:szCs w:val="28"/>
        </w:rPr>
        <w:t>комиссии 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(решение </w:t>
      </w:r>
      <w:r>
        <w:rPr>
          <w:rFonts w:ascii="Times New Roman" w:eastAsia="Times New Roman" w:hAnsi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09.09.201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230</w:t>
      </w:r>
      <w:r w:rsidRPr="00C83C38">
        <w:rPr>
          <w:rFonts w:ascii="Times New Roman" w:eastAsia="Times New Roman" w:hAnsi="Times New Roman"/>
          <w:sz w:val="28"/>
          <w:szCs w:val="28"/>
        </w:rPr>
        <w:t>);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Регламента Контрольно-счетной </w:t>
      </w:r>
      <w:r>
        <w:rPr>
          <w:rFonts w:ascii="Times New Roman" w:eastAsia="Times New Roman" w:hAnsi="Times New Roman"/>
          <w:sz w:val="28"/>
          <w:szCs w:val="28"/>
        </w:rPr>
        <w:t>комиссии 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, утвержденного приказом контрольно-счетной </w:t>
      </w:r>
      <w:r>
        <w:rPr>
          <w:rFonts w:ascii="Times New Roman" w:eastAsia="Times New Roman" w:hAnsi="Times New Roman"/>
          <w:sz w:val="28"/>
          <w:szCs w:val="28"/>
        </w:rPr>
        <w:t>комиссии 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3C38">
        <w:rPr>
          <w:rFonts w:ascii="Times New Roman" w:eastAsia="Times New Roman" w:hAnsi="Times New Roman"/>
          <w:sz w:val="28"/>
          <w:szCs w:val="28"/>
          <w:highlight w:val="red"/>
        </w:rPr>
        <w:t xml:space="preserve">от </w:t>
      </w:r>
      <w:r w:rsidRPr="00994796">
        <w:rPr>
          <w:rFonts w:ascii="Times New Roman" w:eastAsia="Times New Roman" w:hAnsi="Times New Roman"/>
          <w:sz w:val="28"/>
          <w:szCs w:val="28"/>
          <w:highlight w:val="red"/>
        </w:rPr>
        <w:t>10</w:t>
      </w:r>
      <w:r w:rsidRPr="00C83C38">
        <w:rPr>
          <w:rFonts w:ascii="Times New Roman" w:eastAsia="Times New Roman" w:hAnsi="Times New Roman"/>
          <w:sz w:val="28"/>
          <w:szCs w:val="28"/>
          <w:highlight w:val="red"/>
        </w:rPr>
        <w:t>.0</w:t>
      </w:r>
      <w:r w:rsidRPr="00994796">
        <w:rPr>
          <w:rFonts w:ascii="Times New Roman" w:eastAsia="Times New Roman" w:hAnsi="Times New Roman"/>
          <w:sz w:val="28"/>
          <w:szCs w:val="28"/>
          <w:highlight w:val="red"/>
        </w:rPr>
        <w:t>1</w:t>
      </w:r>
      <w:r w:rsidRPr="00C83C38">
        <w:rPr>
          <w:rFonts w:ascii="Times New Roman" w:eastAsia="Times New Roman" w:hAnsi="Times New Roman"/>
          <w:sz w:val="28"/>
          <w:szCs w:val="28"/>
          <w:highlight w:val="red"/>
        </w:rPr>
        <w:t>.20</w:t>
      </w:r>
      <w:r w:rsidRPr="00994796">
        <w:rPr>
          <w:rFonts w:ascii="Times New Roman" w:eastAsia="Times New Roman" w:hAnsi="Times New Roman"/>
          <w:sz w:val="28"/>
          <w:szCs w:val="28"/>
          <w:highlight w:val="red"/>
        </w:rPr>
        <w:t>22</w:t>
      </w:r>
      <w:r w:rsidRPr="00C83C38">
        <w:rPr>
          <w:rFonts w:ascii="Times New Roman" w:eastAsia="Times New Roman" w:hAnsi="Times New Roman"/>
          <w:sz w:val="28"/>
          <w:szCs w:val="28"/>
          <w:highlight w:val="red"/>
        </w:rPr>
        <w:t xml:space="preserve"> № 1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(далее - Регламент);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 47К (993);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стандартов Счетной Палаты Российской Федерации, ИНТОСАИ и других международных стандартов в области государственного и муниципального финансового контроля и аудита.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83C38">
        <w:rPr>
          <w:rFonts w:ascii="Times New Roman" w:eastAsia="Times New Roman" w:hAnsi="Times New Roman"/>
          <w:sz w:val="28"/>
          <w:szCs w:val="28"/>
        </w:rPr>
        <w:t>Стандарт применяется с учетом: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Федерального закона от 06.12.2011 № 402-ФЗ «О бухгалтерском учете»;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других стандартов внешнего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3C38">
        <w:rPr>
          <w:rFonts w:ascii="Times New Roman" w:eastAsia="Times New Roman" w:hAnsi="Times New Roman"/>
          <w:sz w:val="28"/>
          <w:szCs w:val="28"/>
        </w:rPr>
        <w:t>финансового контроля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>.</w:t>
      </w:r>
    </w:p>
    <w:p w:rsidR="00D16727" w:rsidRPr="00C83C38" w:rsidRDefault="00D16727" w:rsidP="00D16727">
      <w:pPr>
        <w:suppressAutoHyphens/>
        <w:spacing w:after="0"/>
        <w:ind w:left="-14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 w:rsidRPr="00C83C38">
        <w:rPr>
          <w:rFonts w:ascii="Times New Roman" w:eastAsia="Times New Roman" w:hAnsi="Times New Roman"/>
          <w:sz w:val="28"/>
          <w:szCs w:val="28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– бюджет), включая внешнюю проверку годовой 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бюджетной отчетности главных администраторов средств </w:t>
      </w:r>
      <w:r w:rsidRPr="00C83C38">
        <w:rPr>
          <w:rFonts w:ascii="Times New Roman" w:eastAsia="Times New Roman" w:hAnsi="Times New Roman"/>
          <w:sz w:val="28"/>
          <w:szCs w:val="28"/>
        </w:rPr>
        <w:t>(</w:t>
      </w:r>
      <w:r w:rsidRPr="00C83C38">
        <w:rPr>
          <w:rFonts w:ascii="Times New Roman" w:hAnsi="Times New Roman"/>
          <w:sz w:val="28"/>
          <w:szCs w:val="28"/>
          <w:lang w:eastAsia="ru-RU"/>
        </w:rPr>
        <w:t>местного бюджета (далее – ГАБС) и подготовку заключения КСП на годовой отчет об исполнении бюджета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местного бюджета за отчетный финансовый год (далее – заключение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</w:t>
      </w:r>
      <w:proofErr w:type="gramEnd"/>
      <w:r w:rsidRPr="00C83C38">
        <w:rPr>
          <w:rFonts w:ascii="Times New Roman" w:eastAsia="Times New Roman" w:hAnsi="Times New Roman"/>
          <w:sz w:val="28"/>
          <w:szCs w:val="28"/>
        </w:rPr>
        <w:t xml:space="preserve"> или заключение)</w:t>
      </w:r>
      <w:r w:rsidRPr="00C83C38">
        <w:rPr>
          <w:rFonts w:ascii="Times New Roman" w:hAnsi="Times New Roman"/>
          <w:sz w:val="28"/>
          <w:szCs w:val="28"/>
          <w:lang w:eastAsia="ru-RU"/>
        </w:rPr>
        <w:t>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 w:rsidRPr="00C83C38">
        <w:rPr>
          <w:rFonts w:ascii="Times New Roman" w:eastAsia="Times New Roman" w:hAnsi="Times New Roman"/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</w:t>
      </w:r>
      <w:proofErr w:type="gramEnd"/>
      <w:r w:rsidRPr="00C83C38">
        <w:rPr>
          <w:rFonts w:ascii="Times New Roman" w:eastAsia="Times New Roman" w:hAnsi="Times New Roman"/>
          <w:sz w:val="28"/>
          <w:szCs w:val="28"/>
        </w:rPr>
        <w:t xml:space="preserve"> кодекса Российской Федерации, решения представительного органа местного самоуправления о бюджетном процессе (далее – внешняя проверка).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C83C38">
        <w:rPr>
          <w:rFonts w:ascii="Times New Roman" w:eastAsia="Times New Roman" w:hAnsi="Times New Roman"/>
          <w:sz w:val="28"/>
          <w:szCs w:val="28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в соответствии с требованиями действующего законодательства.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r w:rsidRPr="00C83C38">
        <w:rPr>
          <w:rFonts w:ascii="Times New Roman" w:eastAsia="Times New Roman" w:hAnsi="Times New Roman"/>
          <w:sz w:val="28"/>
          <w:szCs w:val="28"/>
        </w:rPr>
        <w:t>Задачами Стандарта являются: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определение целей, задач, предмета и объектов внешней проверки;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83C38">
        <w:rPr>
          <w:rFonts w:ascii="Times New Roman" w:eastAsia="Times New Roman" w:hAnsi="Times New Roman"/>
          <w:sz w:val="28"/>
          <w:szCs w:val="28"/>
        </w:rPr>
        <w:t>определение источников информации для проведения внешней проверки;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установление основных этапов организации и проведения внешней проверки;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установление требований к структуре и содержанию заключений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по результатам внешней проверки годовой бюджетной отчетности и на годовой отчет об исполнении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установление требований к оформлению результатов внешней проверки;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установление порядка рассмотрения и утверждения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бюджета, представления его представительному органу и </w:t>
      </w:r>
      <w:r w:rsidRPr="00C83C38">
        <w:rPr>
          <w:rFonts w:ascii="Times New Roman" w:eastAsia="Times New Roman" w:hAnsi="Times New Roman"/>
          <w:sz w:val="28"/>
          <w:szCs w:val="28"/>
          <w:lang w:eastAsia="ru-RU"/>
        </w:rPr>
        <w:t>местной администрации.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C83C38">
        <w:rPr>
          <w:rFonts w:ascii="Times New Roman" w:eastAsia="Times New Roman" w:hAnsi="Times New Roman"/>
          <w:sz w:val="28"/>
          <w:szCs w:val="28"/>
        </w:rPr>
        <w:t>Стандарт предназначен для использования должностными лицами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>, специалистами сторонних организаций и экспертами, привлекаемыми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к проведению контрольных и экспертно-аналитических мероприятий. </w:t>
      </w:r>
    </w:p>
    <w:p w:rsidR="00D16727" w:rsidRPr="00C83C38" w:rsidRDefault="00D16727" w:rsidP="00D1672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</w:t>
      </w:r>
      <w:r w:rsidRPr="00C83C38">
        <w:rPr>
          <w:rFonts w:ascii="Times New Roman" w:eastAsia="Times New Roman" w:hAnsi="Times New Roman"/>
          <w:sz w:val="28"/>
          <w:szCs w:val="28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1.8. </w:t>
      </w:r>
      <w:r w:rsidRPr="00C83C38">
        <w:rPr>
          <w:rFonts w:ascii="Times New Roman" w:eastAsia="Times New Roman" w:hAnsi="Times New Roman"/>
          <w:sz w:val="28"/>
          <w:szCs w:val="28"/>
        </w:rPr>
        <w:t>Термины и определения Стандарта соответствуют терминам, установленным в документах, указанных в пункте 1.1. Стандарта.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727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2. </w:t>
      </w:r>
      <w:bookmarkStart w:id="2" w:name="_Toc423596218"/>
      <w:r w:rsidRPr="00C83C38">
        <w:rPr>
          <w:rFonts w:ascii="Times New Roman" w:hAnsi="Times New Roman"/>
          <w:b/>
          <w:bCs/>
          <w:kern w:val="32"/>
          <w:sz w:val="28"/>
          <w:szCs w:val="28"/>
        </w:rPr>
        <w:t>Цель, задачи, предмет и объекты внешней проверки</w:t>
      </w:r>
      <w:bookmarkEnd w:id="2"/>
    </w:p>
    <w:p w:rsidR="00D16727" w:rsidRPr="00C83C38" w:rsidRDefault="00D16727" w:rsidP="00D16727">
      <w:pPr>
        <w:keepNext/>
        <w:suppressAutoHyphens/>
        <w:spacing w:after="0"/>
        <w:ind w:left="709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16727" w:rsidRPr="00C83C38" w:rsidRDefault="00D16727" w:rsidP="00D16727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2.1.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бюджетной отчетности ГАБС, </w:t>
      </w:r>
      <w:r w:rsidRPr="00C83C38">
        <w:rPr>
          <w:rFonts w:ascii="Times New Roman" w:eastAsia="Times New Roman" w:hAnsi="Times New Roman"/>
          <w:sz w:val="28"/>
          <w:szCs w:val="28"/>
        </w:rPr>
        <w:t>законности и результативности деятельности по исполнению местного бюджета в отчетном финансовом году, с учетом имеющихся ограничений.</w:t>
      </w:r>
    </w:p>
    <w:p w:rsidR="00D16727" w:rsidRPr="00C83C38" w:rsidRDefault="00D16727" w:rsidP="00D1672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C83C38">
        <w:rPr>
          <w:rFonts w:ascii="Times New Roman" w:eastAsia="Times New Roman" w:hAnsi="Times New Roman"/>
          <w:sz w:val="28"/>
          <w:szCs w:val="28"/>
        </w:rPr>
        <w:t>Задачами внешней проверки являются:</w:t>
      </w:r>
    </w:p>
    <w:p w:rsidR="00D16727" w:rsidRPr="00C83C38" w:rsidRDefault="00D16727" w:rsidP="00D1672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C83C38">
        <w:rPr>
          <w:rFonts w:ascii="Times New Roman" w:eastAsia="Times New Roman" w:hAnsi="Times New Roman"/>
          <w:sz w:val="28"/>
          <w:szCs w:val="28"/>
        </w:rPr>
        <w:t>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установление полноты и достоверности годового отчета об исполнении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определение степени выполнения требований законодательства при организации исполнения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оценка соблюдения (выполнения) бюджетных назначений и иных показателей, установленных законом о бюджете (решением о местном бюджете);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оценка формирования и исполнения доходной и расходной частей бюджета, дефицита (профицита)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определение эффективности деятельности по управлению муниципальным имуществом (полноты и своевременности поступления в </w:t>
      </w:r>
      <w:r w:rsidRPr="00C83C38">
        <w:rPr>
          <w:rFonts w:ascii="Times New Roman" w:eastAsia="Times New Roman" w:hAnsi="Times New Roman"/>
          <w:sz w:val="28"/>
          <w:szCs w:val="28"/>
        </w:rPr>
        <w:lastRenderedPageBreak/>
        <w:t>бюджет доходов от использования муниципального имущества), муниципальным долгом, предоставлению бюджетных кредитов и гарантий;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3C38">
        <w:rPr>
          <w:rFonts w:ascii="Times New Roman" w:eastAsia="Times New Roman" w:hAnsi="Times New Roman"/>
          <w:sz w:val="28"/>
          <w:szCs w:val="28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</w:t>
      </w:r>
      <w:proofErr w:type="gramStart"/>
      <w:r w:rsidRPr="00C83C38">
        <w:rPr>
          <w:rFonts w:ascii="Times New Roman" w:eastAsia="Times New Roman" w:hAnsi="Times New Roman"/>
          <w:sz w:val="28"/>
          <w:szCs w:val="28"/>
        </w:rPr>
        <w:t>Предметом внешней проверки являются годовой отчет об исполнении местного бюджета за отчетный финансовый год, документы, предоставленные в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решения представительного органа местного самоуправления о бюджетном процессе, решение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 и материалы, необходимые для проведения</w:t>
      </w:r>
      <w:proofErr w:type="gramEnd"/>
      <w:r w:rsidRPr="00C83C38">
        <w:rPr>
          <w:rFonts w:ascii="Times New Roman" w:eastAsia="Times New Roman" w:hAnsi="Times New Roman"/>
          <w:sz w:val="28"/>
          <w:szCs w:val="28"/>
        </w:rPr>
        <w:t xml:space="preserve"> внешней проверки и полученные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в установленном порядке.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Объектами внешней проверки являются финансовый орган, главные администраторы средств местного бюджета. В ходе внешней проверки, могут проводиться встречные выборочные проверки в отношении иных </w:t>
      </w:r>
      <w:r w:rsidRPr="00C83C38">
        <w:rPr>
          <w:rFonts w:ascii="Times New Roman" w:eastAsia="Times New Roman" w:hAnsi="Times New Roman"/>
          <w:color w:val="000000"/>
          <w:sz w:val="28"/>
          <w:szCs w:val="28"/>
        </w:rPr>
        <w:t>лиц</w:t>
      </w:r>
      <w:r w:rsidRPr="00C83C38">
        <w:rPr>
          <w:rFonts w:ascii="Times New Roman" w:eastAsia="Times New Roman" w:hAnsi="Times New Roman"/>
          <w:color w:val="0070C0"/>
          <w:sz w:val="28"/>
          <w:szCs w:val="28"/>
        </w:rPr>
        <w:t>,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органов и организаций, на которые распространяются полномочия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имущества).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Внешняя проверка годовой 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бюджетной отчетности главных администраторов средств местного бюджета </w:t>
      </w:r>
      <w:r w:rsidRPr="00C83C38">
        <w:rPr>
          <w:rFonts w:ascii="Times New Roman" w:eastAsia="Times New Roman" w:hAnsi="Times New Roman"/>
          <w:sz w:val="28"/>
          <w:szCs w:val="28"/>
        </w:rPr>
        <w:t>не проводится в отношении главных администраторов доходов бюджета, являющихся государственными органами и учреждениями субъекта РФ.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D16727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 </w:t>
      </w:r>
      <w:r w:rsidRPr="00C83C38">
        <w:rPr>
          <w:rFonts w:ascii="Times New Roman" w:eastAsia="Times New Roman" w:hAnsi="Times New Roman"/>
          <w:sz w:val="28"/>
          <w:szCs w:val="28"/>
        </w:rPr>
        <w:t>Внешняя проверка предусматривает проведение контрольных и экспертно-аналитических мероприятий.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727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" w:name="_Toc423596219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3. </w:t>
      </w:r>
      <w:r w:rsidRPr="00C83C38">
        <w:rPr>
          <w:rFonts w:ascii="Times New Roman" w:hAnsi="Times New Roman"/>
          <w:b/>
          <w:bCs/>
          <w:kern w:val="32"/>
          <w:sz w:val="28"/>
          <w:szCs w:val="28"/>
        </w:rPr>
        <w:t>Источники информации и сроки проведения внешней проверки</w:t>
      </w:r>
      <w:bookmarkEnd w:id="3"/>
    </w:p>
    <w:p w:rsidR="00D16727" w:rsidRPr="00C83C38" w:rsidRDefault="00D16727" w:rsidP="00D16727">
      <w:pPr>
        <w:keepNext/>
        <w:suppressAutoHyphens/>
        <w:spacing w:after="0"/>
        <w:ind w:left="709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Информационной основой проведения внешней проверки являются: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нормативные правовые акты Российской Федерации, субъекта Российской Федерации, муниципального образования;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о бюджете (далее – решение о местном бюджете) на отчетный финансовый год и на плановый период и решения о внесении изменений в решение о бюджете;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годовая бюджетная отчетность ГАБС;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годовой отчет об исполнении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ежемесячные, квартальные отчеты об исполнении бюджета, в том числе консолидированного;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информация об исполнении муниципальных и ведомственных программ; </w:t>
      </w:r>
    </w:p>
    <w:p w:rsidR="00D16727" w:rsidRPr="00C83C38" w:rsidRDefault="00D16727" w:rsidP="00D16727">
      <w:pPr>
        <w:tabs>
          <w:tab w:val="left" w:pos="1080"/>
          <w:tab w:val="num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доклады о результатах и основных направлениях деятельности ГАБС (при их составлении ГАБС);</w:t>
      </w:r>
    </w:p>
    <w:p w:rsidR="00D16727" w:rsidRPr="00C83C38" w:rsidRDefault="00D16727" w:rsidP="00D16727">
      <w:pPr>
        <w:tabs>
          <w:tab w:val="left" w:pos="1080"/>
          <w:tab w:val="num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отчеты об исполнении бюджета за иные отчетные годы;</w:t>
      </w:r>
    </w:p>
    <w:p w:rsidR="00D16727" w:rsidRPr="00C83C38" w:rsidRDefault="00D16727" w:rsidP="00D16727">
      <w:pPr>
        <w:tabs>
          <w:tab w:val="left" w:pos="1080"/>
          <w:tab w:val="num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материалы контрольных мероприятий, проведенных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>, в ходе которых периоды отчетного года входили в проверяемый период;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статистические показатели;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иная информация, полученная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C83C38">
        <w:rPr>
          <w:rFonts w:ascii="Times New Roman" w:eastAsia="Times New Roman" w:hAnsi="Times New Roman"/>
          <w:sz w:val="28"/>
          <w:szCs w:val="28"/>
        </w:rPr>
        <w:t>Для дополнительного анализа и формирования выводов по итогам исполнения бюджета могут направляться запросы в органы местного самоуправления, Управление Федеральной налоговой службы по субъекту Российской Федерации, иные учреждения и организации, иным лицам.</w:t>
      </w:r>
    </w:p>
    <w:p w:rsidR="00D16727" w:rsidRPr="00C83C38" w:rsidRDefault="00D16727" w:rsidP="00D1672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</w:t>
      </w:r>
      <w:r w:rsidRPr="00C83C38">
        <w:rPr>
          <w:rFonts w:ascii="Times New Roman" w:eastAsia="Times New Roman" w:hAnsi="Times New Roman"/>
          <w:sz w:val="28"/>
          <w:szCs w:val="28"/>
        </w:rPr>
        <w:t>Сроки проведения внешней проверки, подготовки и рассмотрения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устанавливаются в соответствии с положениями Бюджетного кодекса Российской Федерации, решения </w:t>
      </w:r>
      <w:r>
        <w:rPr>
          <w:rFonts w:ascii="Times New Roman" w:eastAsia="Times New Roman" w:hAnsi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о бюджетном процессе.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727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" w:name="_Toc423596220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4. </w:t>
      </w:r>
      <w:r w:rsidRPr="00C83C38">
        <w:rPr>
          <w:rFonts w:ascii="Times New Roman" w:hAnsi="Times New Roman"/>
          <w:b/>
          <w:bCs/>
          <w:kern w:val="32"/>
          <w:sz w:val="28"/>
          <w:szCs w:val="28"/>
        </w:rPr>
        <w:t>Содержание внешней проверки</w:t>
      </w:r>
      <w:bookmarkEnd w:id="4"/>
    </w:p>
    <w:p w:rsidR="00D16727" w:rsidRPr="00C83C38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</w:t>
      </w:r>
      <w:r w:rsidRPr="00C83C38">
        <w:rPr>
          <w:rFonts w:ascii="Times New Roman" w:eastAsia="Times New Roman" w:hAnsi="Times New Roman"/>
          <w:sz w:val="28"/>
          <w:szCs w:val="28"/>
        </w:rPr>
        <w:lastRenderedPageBreak/>
        <w:t>бюджета, законности и эффективности деятельности участников бюджетного процесса.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</w:t>
      </w:r>
      <w:r w:rsidRPr="00C83C38">
        <w:rPr>
          <w:rFonts w:ascii="Times New Roman" w:eastAsia="Times New Roman" w:hAnsi="Times New Roman"/>
          <w:sz w:val="28"/>
          <w:szCs w:val="28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r w:rsidRPr="00C83C38">
        <w:rPr>
          <w:rFonts w:ascii="Times New Roman" w:eastAsia="Times New Roman" w:hAnsi="Times New Roman"/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D16727" w:rsidRPr="00C83C38" w:rsidRDefault="00D16727" w:rsidP="00D1672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</w:t>
      </w:r>
      <w:r w:rsidRPr="00C83C38">
        <w:rPr>
          <w:rFonts w:ascii="Times New Roman" w:eastAsia="Times New Roman" w:hAnsi="Times New Roman"/>
          <w:sz w:val="28"/>
          <w:szCs w:val="28"/>
        </w:rPr>
        <w:t>Основное внимание следует уделять 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C83C38">
        <w:rPr>
          <w:rFonts w:ascii="Times New Roman" w:hAnsi="Times New Roman"/>
          <w:sz w:val="28"/>
          <w:szCs w:val="28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3C38">
        <w:rPr>
          <w:rFonts w:ascii="Times New Roman" w:hAnsi="Times New Roman"/>
          <w:sz w:val="28"/>
          <w:szCs w:val="28"/>
          <w:lang w:eastAsia="ru-RU"/>
        </w:rPr>
        <w:t>о соответствии отчета об исполнении бюджета бюджетному законодательству;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 соблюдении сроков формирования и представления отчетности;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 полноте состава и внутренней согласованности данных отчетности (в том числе за разные периоды);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</w:t>
      </w:r>
      <w:r w:rsidRPr="00C83C38">
        <w:rPr>
          <w:rFonts w:ascii="Times New Roman" w:eastAsia="Times New Roman" w:hAnsi="Times New Roman"/>
          <w:sz w:val="28"/>
          <w:szCs w:val="28"/>
        </w:rPr>
        <w:t>о соблюдении требований составления бюджетной отчётности, установленных приказами финансового органа;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 соответствии характеристик объектов учета способу их отражения в учете и отчетности (при необходимости);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 достоверности бюджетной отчётности;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4.7. </w:t>
      </w:r>
      <w:proofErr w:type="gramStart"/>
      <w:r w:rsidRPr="00C83C38">
        <w:rPr>
          <w:rFonts w:ascii="Times New Roman" w:eastAsia="Times New Roman" w:hAnsi="Times New Roman"/>
          <w:sz w:val="28"/>
          <w:szCs w:val="28"/>
        </w:rPr>
        <w:t xml:space="preserve">В ходе анализа социально-экономических условий и результатов исполнения бюджета 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определяются макроэкономические факторы, существенно повлиявшие на исполнение бюджета (динамика производства </w:t>
      </w:r>
      <w:r w:rsidRPr="00C83C38">
        <w:rPr>
          <w:rFonts w:ascii="Times New Roman" w:hAnsi="Times New Roman"/>
          <w:sz w:val="28"/>
          <w:szCs w:val="28"/>
          <w:lang w:eastAsia="ru-RU"/>
        </w:rPr>
        <w:lastRenderedPageBreak/>
        <w:t>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  <w:proofErr w:type="gramEnd"/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Pr="00C83C38">
        <w:rPr>
          <w:rFonts w:ascii="Times New Roman" w:hAnsi="Times New Roman"/>
          <w:sz w:val="28"/>
          <w:szCs w:val="28"/>
          <w:lang w:eastAsia="ru-RU"/>
        </w:rPr>
        <w:t>В ходе проверки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организации исполнения бюджета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 рассматривается полнота выполнения текстовых статей решения о бюджете,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D16727" w:rsidRPr="00C83C38" w:rsidRDefault="00D16727" w:rsidP="00D1672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4.9. </w:t>
      </w:r>
      <w:r w:rsidRPr="00C83C38">
        <w:rPr>
          <w:rFonts w:ascii="Times New Roman" w:eastAsia="Times New Roman" w:hAnsi="Times New Roman"/>
          <w:sz w:val="28"/>
          <w:szCs w:val="28"/>
        </w:rPr>
        <w:t>В ходе проверки исполнения решения о бюджете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 рассматривается </w:t>
      </w:r>
      <w:r w:rsidRPr="00C83C38">
        <w:rPr>
          <w:rFonts w:ascii="Times New Roman" w:eastAsia="Times New Roman" w:hAnsi="Times New Roman"/>
          <w:sz w:val="28"/>
          <w:szCs w:val="28"/>
        </w:rPr>
        <w:t>соблюдение (выполнение) бюджетных назначений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C83C38">
        <w:rPr>
          <w:rFonts w:ascii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C83C38">
        <w:rPr>
          <w:rFonts w:ascii="Times New Roman" w:hAnsi="Times New Roman"/>
          <w:sz w:val="28"/>
          <w:szCs w:val="28"/>
          <w:lang w:eastAsia="ru-RU"/>
        </w:rPr>
        <w:t xml:space="preserve">) и (или) достижение (выполнение). 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4.10. </w:t>
      </w:r>
      <w:r w:rsidRPr="00C83C38">
        <w:rPr>
          <w:rFonts w:ascii="Times New Roman" w:hAnsi="Times New Roman"/>
          <w:sz w:val="28"/>
          <w:szCs w:val="28"/>
          <w:lang w:eastAsia="ru-RU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4.11. </w:t>
      </w:r>
      <w:r w:rsidRPr="00C83C38">
        <w:rPr>
          <w:rFonts w:ascii="Times New Roman" w:hAnsi="Times New Roman"/>
          <w:sz w:val="28"/>
          <w:szCs w:val="28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4.12. </w:t>
      </w:r>
      <w:r w:rsidRPr="00C83C38">
        <w:rPr>
          <w:rFonts w:ascii="Times New Roman" w:hAnsi="Times New Roman"/>
          <w:sz w:val="28"/>
          <w:szCs w:val="28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4.13.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Конкретный набор вопросов проведения внешней проверки </w:t>
      </w:r>
      <w:r w:rsidRPr="00C83C38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D16727" w:rsidRPr="00C83C38" w:rsidRDefault="00D16727" w:rsidP="00D16727">
      <w:pPr>
        <w:tabs>
          <w:tab w:val="left" w:pos="1080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727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" w:name="_Toc423596221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5. </w:t>
      </w:r>
      <w:r w:rsidRPr="00C83C38">
        <w:rPr>
          <w:rFonts w:ascii="Times New Roman" w:hAnsi="Times New Roman"/>
          <w:b/>
          <w:bCs/>
          <w:kern w:val="32"/>
          <w:sz w:val="28"/>
          <w:szCs w:val="28"/>
        </w:rPr>
        <w:t>Организация внешней проверки бюджета</w:t>
      </w:r>
      <w:bookmarkEnd w:id="5"/>
    </w:p>
    <w:p w:rsidR="00D16727" w:rsidRPr="00C83C38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C83C38">
        <w:rPr>
          <w:rFonts w:ascii="Times New Roman" w:eastAsia="Times New Roman" w:hAnsi="Times New Roman"/>
          <w:sz w:val="28"/>
          <w:szCs w:val="28"/>
        </w:rPr>
        <w:t>Внешняя проверка включается в годовой план работы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основании положений Бюджетного кодекса Российской Федерации, решения </w:t>
      </w:r>
      <w:r>
        <w:rPr>
          <w:rFonts w:ascii="Times New Roman" w:eastAsia="Times New Roman" w:hAnsi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о бюджетном процессе, Положения о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C83C38">
        <w:rPr>
          <w:rFonts w:ascii="Times New Roman" w:eastAsia="Times New Roman" w:hAnsi="Times New Roman"/>
          <w:sz w:val="28"/>
          <w:szCs w:val="28"/>
        </w:rPr>
        <w:t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>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 w:rsidRPr="00C83C38">
        <w:rPr>
          <w:rFonts w:ascii="Times New Roman" w:eastAsia="Times New Roman" w:hAnsi="Times New Roman"/>
          <w:sz w:val="28"/>
          <w:szCs w:val="28"/>
        </w:rPr>
        <w:t>три основные этапа</w:t>
      </w:r>
      <w:proofErr w:type="gramEnd"/>
      <w:r w:rsidRPr="00C83C38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подготовительный этап;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основной этап;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заключительный этап. 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5.4. </w:t>
      </w:r>
      <w:r w:rsidRPr="00C83C38">
        <w:rPr>
          <w:rFonts w:ascii="Times New Roman" w:eastAsia="Times New Roman" w:hAnsi="Times New Roman"/>
          <w:sz w:val="28"/>
          <w:szCs w:val="28"/>
        </w:rPr>
        <w:t>На подготовительном этапе внешней проверки изучается содержание следующих документов: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Послания Президента Российской Федерации Федеральному Собранию Российской Федерации и мероприятий местной администрации по реализации их основных положений;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основных направлений бюджетной политики и основных направлений налоговой политики Российской Федерации, субъекта Российской Федерации, Борисоглебского городского округа;</w:t>
      </w:r>
    </w:p>
    <w:p w:rsidR="00D16727" w:rsidRPr="00C83C38" w:rsidRDefault="00D16727" w:rsidP="00D1672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основных итогов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</w:rPr>
        <w:t>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за отчетный финансовый год;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муниципальных программ (проектов муниципальных программ, проектов изменений указанных программ);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решения о бюджете за отчетный финансовый год;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решениям о бюджете и его исполнении, формированию и предоставлению годового отчета и бюджетной отчетности;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решениям о бюджете и его исполнении, формированию и предоставлению годового отчета и бюджетной отчетности;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D16727" w:rsidRPr="00C83C38" w:rsidRDefault="00D16727" w:rsidP="00D1672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3C38">
        <w:rPr>
          <w:rFonts w:ascii="Times New Roman" w:eastAsia="Times New Roman" w:hAnsi="Times New Roman"/>
          <w:sz w:val="28"/>
          <w:szCs w:val="28"/>
        </w:rPr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годовую бюджетную отчетность, на годовой отчет об исполнении бюджета.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</w:t>
      </w:r>
      <w:r w:rsidRPr="00C83C38">
        <w:rPr>
          <w:rFonts w:ascii="Times New Roman" w:eastAsia="Times New Roman" w:hAnsi="Times New Roman"/>
          <w:sz w:val="28"/>
          <w:szCs w:val="28"/>
        </w:rPr>
        <w:t>В ходе основного этапа внешней проверки осуществляются: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проверки годовой бюджетной отчетности ГАБС;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проверка, анализ и оценка обоснованности основных показателей годового отчета об исполнении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5.6. </w:t>
      </w:r>
      <w:r w:rsidRPr="00C83C38">
        <w:rPr>
          <w:rFonts w:ascii="Times New Roman" w:eastAsia="Times New Roman" w:hAnsi="Times New Roman"/>
          <w:sz w:val="28"/>
          <w:szCs w:val="28"/>
        </w:rPr>
        <w:t>На заключительном этапе внешней проверки осуществляется подготовка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с учетом результатов проверки годовой бюджетной отчетности ГАБС, утверждение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и одновременное направление в представительный орган, местной администрации</w:t>
      </w:r>
      <w:r w:rsidRPr="00C83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727" w:rsidRPr="00C83C38" w:rsidRDefault="00D16727" w:rsidP="00D16727">
      <w:pPr>
        <w:tabs>
          <w:tab w:val="left" w:pos="1080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727" w:rsidRPr="00C83C38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" w:name="_Toc423596222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6. </w:t>
      </w:r>
      <w:r w:rsidRPr="00C83C38">
        <w:rPr>
          <w:rFonts w:ascii="Times New Roman" w:hAnsi="Times New Roman"/>
          <w:b/>
          <w:bCs/>
          <w:kern w:val="32"/>
          <w:sz w:val="28"/>
          <w:szCs w:val="28"/>
        </w:rPr>
        <w:t>Подготовка заключения по результатам внешней проверки</w:t>
      </w:r>
      <w:bookmarkEnd w:id="6"/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727" w:rsidRPr="00C83C38" w:rsidRDefault="00D16727" w:rsidP="00D1672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6.1. </w:t>
      </w:r>
      <w:r w:rsidRPr="00C83C38">
        <w:rPr>
          <w:rFonts w:ascii="Times New Roman" w:eastAsia="Times New Roman" w:hAnsi="Times New Roman"/>
          <w:sz w:val="28"/>
          <w:szCs w:val="28"/>
        </w:rPr>
        <w:t>Подготовка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осуществляется в сроки, установленные требованиями бюджетного законодательства.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</w:t>
      </w:r>
      <w:r w:rsidRPr="00C83C38">
        <w:rPr>
          <w:rFonts w:ascii="Times New Roman" w:eastAsia="Times New Roman" w:hAnsi="Times New Roman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Стандартом.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</w:t>
      </w:r>
      <w:r w:rsidRPr="00C83C38">
        <w:rPr>
          <w:rFonts w:ascii="Times New Roman" w:eastAsia="Times New Roman" w:hAnsi="Times New Roman"/>
          <w:sz w:val="28"/>
          <w:szCs w:val="28"/>
        </w:rPr>
        <w:t>Структура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выводы по результатам внешней проверки.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6.4. </w:t>
      </w:r>
      <w:r w:rsidRPr="00C83C38">
        <w:rPr>
          <w:rFonts w:ascii="Times New Roman" w:eastAsia="Times New Roman" w:hAnsi="Times New Roman"/>
          <w:sz w:val="28"/>
          <w:szCs w:val="28"/>
        </w:rPr>
        <w:t>Структура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общие положения (сроки и полнота представления документов, источники информации для заключения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и т.д.);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предварительные итоги социально - экономического развития </w:t>
      </w:r>
      <w:r>
        <w:rPr>
          <w:rFonts w:ascii="Times New Roman" w:eastAsia="Times New Roman" w:hAnsi="Times New Roman"/>
          <w:sz w:val="28"/>
          <w:szCs w:val="28"/>
        </w:rPr>
        <w:t>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>, общая характеристика исполнения бюджета;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анализ бюджетных инвестиций;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анализ дебиторской и кредиторской задолженности субъектов бюджетной отчетности;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оценка дефицита (профицита) бюджета и источников финансирования дефицита, включая бюджетные кредиты;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анализ долговых и гарантийных обязательств;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общие итоги внешней проверки бюджетной отчетности ГАБС;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выводы и рекомендации;</w:t>
      </w:r>
    </w:p>
    <w:p w:rsidR="00D16727" w:rsidRPr="00C83C38" w:rsidRDefault="00D16727" w:rsidP="00D16727">
      <w:pPr>
        <w:tabs>
          <w:tab w:val="left" w:pos="1080"/>
          <w:tab w:val="num" w:pos="1134"/>
        </w:tabs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3C38">
        <w:rPr>
          <w:rFonts w:ascii="Times New Roman" w:eastAsia="Times New Roman" w:hAnsi="Times New Roman"/>
          <w:sz w:val="28"/>
          <w:szCs w:val="28"/>
        </w:rPr>
        <w:t>приложения.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6.5. </w:t>
      </w:r>
      <w:r w:rsidRPr="00C83C38">
        <w:rPr>
          <w:rFonts w:ascii="Times New Roman" w:eastAsia="Times New Roman" w:hAnsi="Times New Roman"/>
          <w:sz w:val="28"/>
          <w:szCs w:val="28"/>
        </w:rPr>
        <w:t>В заключении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</w:t>
      </w:r>
      <w:r>
        <w:rPr>
          <w:rFonts w:ascii="Times New Roman" w:eastAsia="Times New Roman" w:hAnsi="Times New Roman"/>
          <w:sz w:val="28"/>
          <w:szCs w:val="28"/>
        </w:rPr>
        <w:t>Грибановского муниципального района</w:t>
      </w:r>
      <w:r w:rsidRPr="00C83C38">
        <w:rPr>
          <w:rFonts w:ascii="Times New Roman" w:eastAsia="Times New Roman" w:hAnsi="Times New Roman"/>
          <w:sz w:val="28"/>
          <w:szCs w:val="28"/>
        </w:rPr>
        <w:t>, иным программным и стратегическим документам.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6.6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3C3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83C38">
        <w:rPr>
          <w:rFonts w:ascii="Times New Roman" w:eastAsia="Times New Roman" w:hAnsi="Times New Roman"/>
          <w:sz w:val="28"/>
          <w:szCs w:val="28"/>
        </w:rPr>
        <w:t xml:space="preserve"> заключении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6.7. </w:t>
      </w:r>
      <w:r w:rsidRPr="00C83C38">
        <w:rPr>
          <w:rFonts w:ascii="Times New Roman" w:eastAsia="Times New Roman" w:hAnsi="Times New Roman"/>
          <w:sz w:val="28"/>
          <w:szCs w:val="28"/>
        </w:rPr>
        <w:t>В заключении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6.8. </w:t>
      </w:r>
      <w:proofErr w:type="gramStart"/>
      <w:r w:rsidRPr="00C83C38">
        <w:rPr>
          <w:rFonts w:ascii="Times New Roman" w:eastAsia="Times New Roman" w:hAnsi="Times New Roman"/>
          <w:sz w:val="28"/>
          <w:szCs w:val="28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 w:rsidRPr="00C83C38">
        <w:rPr>
          <w:rFonts w:ascii="Times New Roman" w:eastAsia="Times New Roman" w:hAnsi="Times New Roman"/>
          <w:sz w:val="28"/>
          <w:szCs w:val="28"/>
        </w:rPr>
        <w:t xml:space="preserve"> В случае разнонаправленных искажений (и в </w:t>
      </w:r>
      <w:proofErr w:type="gramStart"/>
      <w:r w:rsidRPr="00C83C38">
        <w:rPr>
          <w:rFonts w:ascii="Times New Roman" w:eastAsia="Times New Roman" w:hAnsi="Times New Roman"/>
          <w:sz w:val="28"/>
          <w:szCs w:val="28"/>
        </w:rPr>
        <w:t>большую</w:t>
      </w:r>
      <w:proofErr w:type="gramEnd"/>
      <w:r w:rsidRPr="00C83C38">
        <w:rPr>
          <w:rFonts w:ascii="Times New Roman" w:eastAsia="Times New Roman" w:hAnsi="Times New Roman"/>
          <w:sz w:val="28"/>
          <w:szCs w:val="28"/>
        </w:rPr>
        <w:t xml:space="preserve"> и в меньшую стороны) учитывается сумма их абсолютных значений (без учета знака).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6.9. </w:t>
      </w:r>
      <w:r w:rsidRPr="00C83C38">
        <w:rPr>
          <w:rFonts w:ascii="Times New Roman" w:eastAsia="Times New Roman" w:hAnsi="Times New Roman"/>
          <w:sz w:val="28"/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Pr="00C83C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83C38">
        <w:rPr>
          <w:rFonts w:ascii="Times New Roman" w:eastAsia="Times New Roman" w:hAnsi="Times New Roman"/>
          <w:sz w:val="28"/>
          <w:szCs w:val="28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6.10. </w:t>
      </w:r>
      <w:r w:rsidRPr="00C83C38">
        <w:rPr>
          <w:rFonts w:ascii="Times New Roman" w:eastAsia="Times New Roman" w:hAnsi="Times New Roman"/>
          <w:sz w:val="28"/>
          <w:szCs w:val="28"/>
        </w:rPr>
        <w:t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представление.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предписание.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</w:t>
      </w:r>
    </w:p>
    <w:p w:rsidR="00D16727" w:rsidRPr="00C83C38" w:rsidRDefault="00D16727" w:rsidP="00D1672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6.11. </w:t>
      </w:r>
      <w:r w:rsidRPr="00C83C38">
        <w:rPr>
          <w:rFonts w:ascii="Times New Roman" w:eastAsia="Times New Roman" w:hAnsi="Times New Roman"/>
          <w:sz w:val="28"/>
          <w:szCs w:val="28"/>
        </w:rPr>
        <w:t>Заключение КС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83C38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D16727" w:rsidRPr="00C83C38" w:rsidRDefault="00D16727" w:rsidP="00D16727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727" w:rsidRPr="00C83C38" w:rsidRDefault="00D16727" w:rsidP="00D16727">
      <w:pPr>
        <w:keepNext/>
        <w:suppressAutoHyphens/>
        <w:spacing w:after="0"/>
        <w:ind w:left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" w:name="_Toc423596223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7. </w:t>
      </w:r>
      <w:r w:rsidRPr="00C83C38">
        <w:rPr>
          <w:rFonts w:ascii="Times New Roman" w:hAnsi="Times New Roman"/>
          <w:b/>
          <w:bCs/>
          <w:kern w:val="32"/>
          <w:sz w:val="28"/>
          <w:szCs w:val="28"/>
        </w:rPr>
        <w:t>Порядок рассмотрения и направления результатов внешней проверки</w:t>
      </w:r>
      <w:bookmarkEnd w:id="7"/>
    </w:p>
    <w:p w:rsidR="00465823" w:rsidRDefault="00D16727" w:rsidP="00D16727">
      <w:pPr>
        <w:ind w:firstLine="708"/>
      </w:pPr>
      <w:r>
        <w:rPr>
          <w:rFonts w:ascii="Times New Roman" w:hAnsi="Times New Roman"/>
          <w:sz w:val="28"/>
          <w:szCs w:val="28"/>
        </w:rPr>
        <w:t xml:space="preserve">7.1. </w:t>
      </w:r>
      <w:r w:rsidRPr="00C83C38">
        <w:rPr>
          <w:rFonts w:ascii="Times New Roman" w:hAnsi="Times New Roman"/>
          <w:sz w:val="28"/>
          <w:szCs w:val="28"/>
        </w:rPr>
        <w:t>Заключение КС</w:t>
      </w:r>
      <w:r>
        <w:rPr>
          <w:rFonts w:ascii="Times New Roman" w:hAnsi="Times New Roman"/>
          <w:sz w:val="28"/>
          <w:szCs w:val="28"/>
        </w:rPr>
        <w:t>К</w:t>
      </w:r>
      <w:r w:rsidRPr="00C83C38">
        <w:rPr>
          <w:rFonts w:ascii="Times New Roman" w:hAnsi="Times New Roman"/>
          <w:sz w:val="28"/>
          <w:szCs w:val="28"/>
        </w:rPr>
        <w:t xml:space="preserve"> на годовой отчет об исполнении бюджета готовится с учетом сроков его направления в представительный орган и местную администрацию, установленных Бюджетным кодексом Российской </w:t>
      </w:r>
      <w:r w:rsidRPr="00C83C38">
        <w:rPr>
          <w:rFonts w:ascii="Times New Roman" w:hAnsi="Times New Roman"/>
          <w:sz w:val="28"/>
          <w:szCs w:val="28"/>
        </w:rPr>
        <w:lastRenderedPageBreak/>
        <w:t>Федерации, решением представительного органа местного самоуправления  о бюджетном процессе.</w:t>
      </w:r>
    </w:p>
    <w:sectPr w:rsidR="004658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27" w:rsidRDefault="00D16727" w:rsidP="00D16727">
      <w:pPr>
        <w:spacing w:after="0" w:line="240" w:lineRule="auto"/>
      </w:pPr>
      <w:r>
        <w:separator/>
      </w:r>
    </w:p>
  </w:endnote>
  <w:endnote w:type="continuationSeparator" w:id="0">
    <w:p w:rsidR="00D16727" w:rsidRDefault="00D16727" w:rsidP="00D1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27" w:rsidRDefault="00D16727" w:rsidP="00D16727">
      <w:pPr>
        <w:spacing w:after="0" w:line="240" w:lineRule="auto"/>
      </w:pPr>
      <w:r>
        <w:separator/>
      </w:r>
    </w:p>
  </w:footnote>
  <w:footnote w:type="continuationSeparator" w:id="0">
    <w:p w:rsidR="00D16727" w:rsidRDefault="00D16727" w:rsidP="00D1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055570"/>
      <w:docPartObj>
        <w:docPartGallery w:val="Page Numbers (Top of Page)"/>
        <w:docPartUnique/>
      </w:docPartObj>
    </w:sdtPr>
    <w:sdtEndPr/>
    <w:sdtContent>
      <w:p w:rsidR="00BA09DF" w:rsidRDefault="00BA09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A5">
          <w:rPr>
            <w:noProof/>
          </w:rPr>
          <w:t>1</w:t>
        </w:r>
        <w:r>
          <w:fldChar w:fldCharType="end"/>
        </w:r>
      </w:p>
    </w:sdtContent>
  </w:sdt>
  <w:p w:rsidR="00BA09DF" w:rsidRDefault="00BA0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7"/>
    <w:rsid w:val="004371A5"/>
    <w:rsid w:val="00465823"/>
    <w:rsid w:val="004B5BA7"/>
    <w:rsid w:val="004D608B"/>
    <w:rsid w:val="00A026A5"/>
    <w:rsid w:val="00A449D7"/>
    <w:rsid w:val="00BA09DF"/>
    <w:rsid w:val="00D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7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7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7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7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2022-01-11T14:28:00Z</cp:lastPrinted>
  <dcterms:created xsi:type="dcterms:W3CDTF">2022-01-12T14:07:00Z</dcterms:created>
  <dcterms:modified xsi:type="dcterms:W3CDTF">2022-01-12T14:07:00Z</dcterms:modified>
</cp:coreProperties>
</file>