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A0" w:rsidRPr="004E25A0" w:rsidRDefault="004E25A0" w:rsidP="004E25A0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УТВЕРЖДЕН:</w:t>
      </w:r>
    </w:p>
    <w:p w:rsidR="004E25A0" w:rsidRPr="004E25A0" w:rsidRDefault="004E25A0" w:rsidP="004E25A0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5A0" w:rsidRPr="004E25A0" w:rsidRDefault="004E25A0" w:rsidP="004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Приказом               </w:t>
      </w:r>
    </w:p>
    <w:p w:rsidR="004E25A0" w:rsidRPr="004E25A0" w:rsidRDefault="004E25A0" w:rsidP="004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</w:p>
    <w:p w:rsidR="004E25A0" w:rsidRPr="004E25A0" w:rsidRDefault="004E25A0" w:rsidP="004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Грибановского     </w:t>
      </w:r>
    </w:p>
    <w:p w:rsidR="004E25A0" w:rsidRPr="004E25A0" w:rsidRDefault="004E25A0" w:rsidP="004E25A0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муниципального района</w:t>
      </w:r>
    </w:p>
    <w:p w:rsidR="004E25A0" w:rsidRPr="004E25A0" w:rsidRDefault="004E25A0" w:rsidP="004E25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C67956">
        <w:rPr>
          <w:rFonts w:ascii="Times New Roman" w:eastAsia="Times New Roman" w:hAnsi="Times New Roman"/>
          <w:sz w:val="28"/>
          <w:szCs w:val="28"/>
          <w:lang w:eastAsia="ru-RU"/>
        </w:rPr>
        <w:t>от 29.12.2021 г. № 2</w:t>
      </w:r>
      <w:bookmarkStart w:id="0" w:name="_GoBack"/>
      <w:bookmarkEnd w:id="0"/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КОНТРОЛЬНО-СЧЕТНАЯ КОМИССИЯ</w:t>
      </w:r>
    </w:p>
    <w:p w:rsidR="004E25A0" w:rsidRPr="004E25A0" w:rsidRDefault="004E25A0" w:rsidP="004E25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E25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Стандарт внешнего муниципального</w:t>
      </w:r>
      <w:r w:rsidR="001E7A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финансового</w:t>
      </w:r>
      <w:r w:rsidRPr="004E25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контроля</w:t>
      </w: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E25A0" w:rsidRPr="004E25A0" w:rsidRDefault="004E25A0" w:rsidP="004E25A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«Предварительный контроль формирования проекта бюджета Грибановского муниципального района на очередной финансовый год и плановый период»</w:t>
      </w: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25A0" w:rsidRPr="004E25A0" w:rsidRDefault="004E25A0" w:rsidP="004E25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5F65" w:rsidRPr="00637836" w:rsidRDefault="00405F65" w:rsidP="00405F6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37836">
        <w:rPr>
          <w:rFonts w:ascii="Times New Roman" w:eastAsia="Calibri" w:hAnsi="Times New Roman" w:cs="Times New Roman"/>
          <w:b/>
          <w:sz w:val="24"/>
          <w:szCs w:val="24"/>
        </w:rPr>
        <w:t>Начало действия: ___.___.2022 г.</w:t>
      </w:r>
    </w:p>
    <w:p w:rsidR="004E25A0" w:rsidRPr="004E25A0" w:rsidRDefault="004E25A0" w:rsidP="00405F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proofErr w:type="spellStart"/>
      <w:r w:rsidRPr="004E25A0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пгт</w:t>
      </w:r>
      <w:proofErr w:type="spellEnd"/>
      <w:r w:rsidRPr="004E25A0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. Грибановский 2022 год</w:t>
      </w:r>
    </w:p>
    <w:p w:rsidR="004E25A0" w:rsidRPr="004E25A0" w:rsidRDefault="004E25A0" w:rsidP="004E25A0">
      <w:pPr>
        <w:keepNext/>
        <w:keepLines/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4E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  <w:r w:rsidRPr="004E25A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E25A0">
        <w:rPr>
          <w:rFonts w:ascii="Times New Roman" w:eastAsia="Calibri" w:hAnsi="Times New Roman" w:cs="Times New Roman"/>
          <w:sz w:val="24"/>
          <w:szCs w:val="24"/>
        </w:rPr>
        <w:instrText xml:space="preserve"> TOC \o "1-3" \h \z \u </w:instrText>
      </w:r>
      <w:r w:rsidRPr="004E25A0">
        <w:rPr>
          <w:rFonts w:ascii="Times New Roman" w:eastAsia="Calibri" w:hAnsi="Times New Roman" w:cs="Times New Roman"/>
          <w:sz w:val="24"/>
          <w:szCs w:val="24"/>
        </w:rPr>
        <w:fldChar w:fldCharType="separate"/>
      </w:r>
    </w:p>
    <w:p w:rsidR="004E25A0" w:rsidRPr="004E25A0" w:rsidRDefault="004E25A0" w:rsidP="004E25A0">
      <w:pPr>
        <w:tabs>
          <w:tab w:val="right" w:leader="dot" w:pos="9345"/>
        </w:tabs>
        <w:spacing w:after="0"/>
        <w:rPr>
          <w:rFonts w:ascii="Calibri" w:eastAsia="Times New Roman" w:hAnsi="Calibri" w:cs="Times New Roman"/>
          <w:noProof/>
          <w:lang w:eastAsia="ru-RU"/>
        </w:rPr>
      </w:pPr>
      <w:r w:rsidRPr="004E25A0">
        <w:rPr>
          <w:rFonts w:ascii="Calibri" w:eastAsia="Calibri" w:hAnsi="Calibri" w:cs="Times New Roman"/>
        </w:rPr>
        <w:fldChar w:fldCharType="begin"/>
      </w:r>
      <w:r w:rsidRPr="004E25A0">
        <w:rPr>
          <w:rFonts w:ascii="Calibri" w:eastAsia="Calibri" w:hAnsi="Calibri" w:cs="Times New Roman"/>
        </w:rPr>
        <w:instrText xml:space="preserve"> TOC \o "1-3" \h \z \u </w:instrText>
      </w:r>
      <w:r w:rsidRPr="004E25A0">
        <w:rPr>
          <w:rFonts w:ascii="Calibri" w:eastAsia="Calibri" w:hAnsi="Calibri" w:cs="Times New Roman"/>
        </w:rPr>
        <w:fldChar w:fldCharType="separate"/>
      </w:r>
    </w:p>
    <w:p w:rsidR="004E25A0" w:rsidRPr="004E25A0" w:rsidRDefault="004E25A0" w:rsidP="004E25A0">
      <w:pPr>
        <w:tabs>
          <w:tab w:val="right" w:leader="dot" w:pos="9345"/>
        </w:tabs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E25A0">
        <w:rPr>
          <w:rFonts w:ascii="Calibri" w:eastAsia="Calibri" w:hAnsi="Calibri" w:cs="Times New Roman"/>
        </w:rPr>
        <w:fldChar w:fldCharType="begin"/>
      </w:r>
      <w:r w:rsidRPr="004E25A0">
        <w:rPr>
          <w:rFonts w:ascii="Calibri" w:eastAsia="Calibri" w:hAnsi="Calibri" w:cs="Times New Roman"/>
        </w:rPr>
        <w:instrText xml:space="preserve"> TOC \o "1-3" \h \z \u </w:instrText>
      </w:r>
      <w:r w:rsidRPr="004E25A0">
        <w:rPr>
          <w:rFonts w:ascii="Calibri" w:eastAsia="Calibri" w:hAnsi="Calibri" w:cs="Times New Roman"/>
        </w:rPr>
        <w:fldChar w:fldCharType="separate"/>
      </w:r>
    </w:p>
    <w:p w:rsidR="004E25A0" w:rsidRPr="004E25A0" w:rsidRDefault="00C67956" w:rsidP="004E25A0">
      <w:pPr>
        <w:tabs>
          <w:tab w:val="left" w:pos="440"/>
          <w:tab w:val="right" w:leader="dot" w:pos="9345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07748029" w:history="1">
        <w:r w:rsidR="004E25A0" w:rsidRPr="004E25A0">
          <w:rPr>
            <w:rFonts w:ascii="Times New Roman" w:eastAsia="Calibri" w:hAnsi="Times New Roman" w:cs="Times New Roman"/>
            <w:noProof/>
            <w:sz w:val="28"/>
            <w:szCs w:val="28"/>
          </w:rPr>
          <w:t>1.</w:t>
        </w:r>
        <w:r w:rsidR="004E25A0" w:rsidRPr="004E25A0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4E25A0" w:rsidRPr="004E25A0">
          <w:rPr>
            <w:rFonts w:ascii="Times New Roman" w:eastAsia="Calibri" w:hAnsi="Times New Roman" w:cs="Times New Roman"/>
            <w:noProof/>
            <w:sz w:val="28"/>
            <w:szCs w:val="28"/>
          </w:rPr>
          <w:t>Общие положения</w:t>
        </w:r>
        <w:r w:rsidR="004E25A0" w:rsidRPr="004E25A0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4E25A0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3</w:t>
        </w:r>
      </w:hyperlink>
    </w:p>
    <w:p w:rsidR="004E25A0" w:rsidRPr="004E25A0" w:rsidRDefault="00C67956" w:rsidP="004E25A0">
      <w:pPr>
        <w:tabs>
          <w:tab w:val="left" w:pos="440"/>
          <w:tab w:val="right" w:leader="dot" w:pos="9345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07748030" w:history="1">
        <w:r w:rsidR="004E25A0" w:rsidRPr="004E25A0">
          <w:rPr>
            <w:rFonts w:ascii="Times New Roman" w:eastAsia="Calibri" w:hAnsi="Times New Roman" w:cs="Times New Roman"/>
            <w:noProof/>
            <w:sz w:val="28"/>
            <w:szCs w:val="28"/>
          </w:rPr>
          <w:t>2.</w:t>
        </w:r>
        <w:r w:rsidR="004E25A0" w:rsidRPr="004E25A0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4E25A0" w:rsidRPr="004E25A0">
          <w:rPr>
            <w:rFonts w:ascii="Times New Roman" w:eastAsia="Calibri" w:hAnsi="Times New Roman" w:cs="Times New Roman"/>
            <w:noProof/>
            <w:sz w:val="28"/>
            <w:szCs w:val="28"/>
          </w:rPr>
          <w:t>Цели, задачи, предмет и  объекты осуществления предварительного аудита формирования  бюджета</w:t>
        </w:r>
        <w:r w:rsidR="004E25A0" w:rsidRPr="004E25A0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4E25A0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4</w:t>
        </w:r>
      </w:hyperlink>
    </w:p>
    <w:p w:rsidR="004E25A0" w:rsidRPr="004E25A0" w:rsidRDefault="00C67956" w:rsidP="004E25A0">
      <w:pPr>
        <w:tabs>
          <w:tab w:val="right" w:leader="dot" w:pos="9345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07748031" w:history="1">
        <w:r w:rsidR="004E25A0" w:rsidRPr="004E25A0">
          <w:rPr>
            <w:rFonts w:ascii="Times New Roman" w:eastAsia="Calibri" w:hAnsi="Times New Roman" w:cs="Times New Roman"/>
            <w:noProof/>
            <w:sz w:val="28"/>
            <w:szCs w:val="28"/>
          </w:rPr>
          <w:t>3. Общие требования к подготовке заключения Контрольно-счетной палаты на проект решения о местном бюджете на очередной финансовый год и плановый период</w:t>
        </w:r>
        <w:r w:rsidR="004E25A0" w:rsidRPr="004E25A0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4E25A0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7</w:t>
        </w:r>
      </w:hyperlink>
    </w:p>
    <w:p w:rsidR="004E25A0" w:rsidRPr="004E25A0" w:rsidRDefault="00C67956" w:rsidP="004E25A0">
      <w:pPr>
        <w:tabs>
          <w:tab w:val="right" w:leader="dot" w:pos="9345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07748033" w:history="1">
        <w:r w:rsidR="004E25A0" w:rsidRPr="004E25A0">
          <w:rPr>
            <w:rFonts w:ascii="Times New Roman" w:eastAsia="Calibri" w:hAnsi="Times New Roman" w:cs="Times New Roman"/>
            <w:noProof/>
            <w:sz w:val="28"/>
            <w:szCs w:val="28"/>
          </w:rPr>
          <w:t>4. Этапы подготовки заключения Контрольно-счетной палаты на проект решения о местном бюджете на очередной финансовый год и плановый период</w:t>
        </w:r>
        <w:r w:rsidR="004E25A0" w:rsidRPr="004E25A0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4E25A0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8</w:t>
        </w:r>
      </w:hyperlink>
    </w:p>
    <w:p w:rsidR="004E25A0" w:rsidRPr="004E25A0" w:rsidRDefault="00C67956" w:rsidP="004E25A0">
      <w:pPr>
        <w:tabs>
          <w:tab w:val="right" w:leader="dot" w:pos="9345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07748034" w:history="1">
        <w:r w:rsidR="004E25A0" w:rsidRPr="004E25A0">
          <w:rPr>
            <w:rFonts w:ascii="Times New Roman" w:eastAsia="Calibri" w:hAnsi="Times New Roman" w:cs="Times New Roman"/>
            <w:noProof/>
            <w:sz w:val="28"/>
            <w:szCs w:val="28"/>
          </w:rPr>
          <w:t>5. Формы и методы, используемые при подготовке заключения   Контрольно-счетной палаты на проект решения о местном бюджете на очередной финансовый год и плановый период</w:t>
        </w:r>
        <w:r w:rsidR="004E25A0" w:rsidRPr="004E25A0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4E25A0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10</w:t>
        </w:r>
      </w:hyperlink>
    </w:p>
    <w:p w:rsidR="004E25A0" w:rsidRPr="004E25A0" w:rsidRDefault="00C67956" w:rsidP="004E25A0">
      <w:pPr>
        <w:tabs>
          <w:tab w:val="right" w:leader="dot" w:pos="9345"/>
        </w:tabs>
        <w:spacing w:after="0"/>
        <w:rPr>
          <w:rFonts w:ascii="Calibri" w:eastAsia="Times New Roman" w:hAnsi="Calibri" w:cs="Times New Roman"/>
          <w:noProof/>
          <w:lang w:eastAsia="ru-RU"/>
        </w:rPr>
      </w:pPr>
      <w:hyperlink w:anchor="_Toc507748035" w:history="1">
        <w:r w:rsidR="004E25A0" w:rsidRPr="004E25A0">
          <w:rPr>
            <w:rFonts w:ascii="Times New Roman" w:eastAsia="Calibri" w:hAnsi="Times New Roman" w:cs="Times New Roman"/>
            <w:noProof/>
            <w:sz w:val="28"/>
            <w:szCs w:val="28"/>
          </w:rPr>
          <w:t>6. Структура заключения Контрольно-счетной палаты на проект решения о местном бюджете на очередной финансовый год и плановый период</w:t>
        </w:r>
        <w:r w:rsidR="004E25A0" w:rsidRPr="004E25A0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4E25A0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10</w:t>
        </w:r>
      </w:hyperlink>
    </w:p>
    <w:p w:rsidR="004E25A0" w:rsidRPr="004E25A0" w:rsidRDefault="004E25A0" w:rsidP="004E25A0">
      <w:pPr>
        <w:spacing w:after="0"/>
        <w:rPr>
          <w:rFonts w:ascii="Calibri" w:eastAsia="Calibri" w:hAnsi="Calibri" w:cs="Times New Roman"/>
          <w:b/>
          <w:bCs/>
        </w:rPr>
      </w:pPr>
      <w:r w:rsidRPr="004E25A0">
        <w:rPr>
          <w:rFonts w:ascii="Calibri" w:eastAsia="Calibri" w:hAnsi="Calibri" w:cs="Times New Roman"/>
          <w:b/>
          <w:bCs/>
        </w:rPr>
        <w:fldChar w:fldCharType="end"/>
      </w:r>
    </w:p>
    <w:p w:rsidR="004E25A0" w:rsidRPr="004E25A0" w:rsidRDefault="004E25A0" w:rsidP="004E25A0">
      <w:pPr>
        <w:spacing w:after="0"/>
        <w:rPr>
          <w:rFonts w:ascii="Calibri" w:eastAsia="Calibri" w:hAnsi="Calibri" w:cs="Times New Roman"/>
        </w:rPr>
      </w:pPr>
    </w:p>
    <w:p w:rsidR="004E25A0" w:rsidRPr="004E25A0" w:rsidRDefault="004E25A0" w:rsidP="004E25A0">
      <w:pPr>
        <w:tabs>
          <w:tab w:val="right" w:leader="dot" w:pos="9345"/>
        </w:tabs>
        <w:spacing w:after="0"/>
        <w:rPr>
          <w:rFonts w:ascii="Calibri" w:eastAsia="Times New Roman" w:hAnsi="Calibri" w:cs="Times New Roman"/>
          <w:noProof/>
          <w:lang w:eastAsia="ru-RU"/>
        </w:rPr>
      </w:pPr>
    </w:p>
    <w:p w:rsidR="004E25A0" w:rsidRPr="004E25A0" w:rsidRDefault="004E25A0" w:rsidP="004E25A0">
      <w:pPr>
        <w:tabs>
          <w:tab w:val="right" w:leader="dot" w:pos="9345"/>
        </w:tabs>
        <w:spacing w:after="0"/>
        <w:rPr>
          <w:rFonts w:ascii="Calibri" w:eastAsia="Times New Roman" w:hAnsi="Calibri" w:cs="Times New Roman"/>
          <w:noProof/>
          <w:lang w:eastAsia="ru-RU"/>
        </w:rPr>
      </w:pPr>
    </w:p>
    <w:p w:rsidR="004E25A0" w:rsidRPr="004E25A0" w:rsidRDefault="004E25A0" w:rsidP="004E25A0">
      <w:pPr>
        <w:spacing w:after="0"/>
        <w:rPr>
          <w:rFonts w:ascii="Calibri" w:eastAsia="Calibri" w:hAnsi="Calibri" w:cs="Times New Roman"/>
        </w:rPr>
      </w:pPr>
      <w:r w:rsidRPr="004E25A0">
        <w:rPr>
          <w:rFonts w:ascii="Calibri" w:eastAsia="Calibri" w:hAnsi="Calibri" w:cs="Times New Roman"/>
          <w:b/>
          <w:bCs/>
        </w:rPr>
        <w:fldChar w:fldCharType="end"/>
      </w:r>
    </w:p>
    <w:p w:rsidR="004E25A0" w:rsidRPr="004E25A0" w:rsidRDefault="004E25A0" w:rsidP="004E25A0">
      <w:pPr>
        <w:tabs>
          <w:tab w:val="right" w:leader="dot" w:pos="9345"/>
        </w:tabs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E25A0" w:rsidRPr="004E25A0" w:rsidRDefault="004E25A0" w:rsidP="004E25A0">
      <w:pPr>
        <w:spacing w:after="0"/>
        <w:rPr>
          <w:rFonts w:ascii="Calibri" w:eastAsia="Calibri" w:hAnsi="Calibri" w:cs="Times New Roman"/>
        </w:rPr>
      </w:pPr>
    </w:p>
    <w:p w:rsidR="004E25A0" w:rsidRPr="004E25A0" w:rsidRDefault="004E25A0" w:rsidP="004E25A0">
      <w:pPr>
        <w:spacing w:after="0"/>
        <w:rPr>
          <w:rFonts w:ascii="Calibri" w:eastAsia="Calibri" w:hAnsi="Calibri" w:cs="Times New Roman"/>
        </w:rPr>
      </w:pPr>
    </w:p>
    <w:p w:rsidR="004E25A0" w:rsidRDefault="004E25A0" w:rsidP="004E25A0">
      <w:pPr>
        <w:spacing w:after="0"/>
        <w:rPr>
          <w:rFonts w:ascii="Calibri" w:eastAsia="Calibri" w:hAnsi="Calibri" w:cs="Times New Roman"/>
        </w:rPr>
      </w:pPr>
    </w:p>
    <w:p w:rsidR="004E25A0" w:rsidRDefault="004E25A0" w:rsidP="004E25A0">
      <w:pPr>
        <w:spacing w:after="0"/>
        <w:rPr>
          <w:rFonts w:ascii="Calibri" w:eastAsia="Calibri" w:hAnsi="Calibri" w:cs="Times New Roman"/>
        </w:rPr>
      </w:pPr>
    </w:p>
    <w:p w:rsidR="004E25A0" w:rsidRDefault="004E25A0" w:rsidP="004E25A0">
      <w:pPr>
        <w:spacing w:after="0"/>
        <w:rPr>
          <w:rFonts w:ascii="Calibri" w:eastAsia="Calibri" w:hAnsi="Calibri" w:cs="Times New Roman"/>
        </w:rPr>
      </w:pPr>
    </w:p>
    <w:p w:rsidR="004E25A0" w:rsidRDefault="004E25A0" w:rsidP="004E25A0">
      <w:pPr>
        <w:spacing w:after="0"/>
        <w:rPr>
          <w:rFonts w:ascii="Calibri" w:eastAsia="Calibri" w:hAnsi="Calibri" w:cs="Times New Roman"/>
        </w:rPr>
      </w:pPr>
    </w:p>
    <w:p w:rsidR="004E25A0" w:rsidRDefault="004E25A0" w:rsidP="004E25A0">
      <w:pPr>
        <w:spacing w:after="0"/>
        <w:rPr>
          <w:rFonts w:ascii="Calibri" w:eastAsia="Calibri" w:hAnsi="Calibri" w:cs="Times New Roman"/>
        </w:rPr>
      </w:pPr>
    </w:p>
    <w:p w:rsidR="004E25A0" w:rsidRDefault="004E25A0" w:rsidP="004E25A0">
      <w:pPr>
        <w:spacing w:after="0"/>
        <w:rPr>
          <w:rFonts w:ascii="Calibri" w:eastAsia="Calibri" w:hAnsi="Calibri" w:cs="Times New Roman"/>
        </w:rPr>
      </w:pPr>
    </w:p>
    <w:p w:rsidR="004E25A0" w:rsidRDefault="004E25A0" w:rsidP="004E25A0">
      <w:pPr>
        <w:spacing w:after="0"/>
        <w:rPr>
          <w:rFonts w:ascii="Calibri" w:eastAsia="Calibri" w:hAnsi="Calibri" w:cs="Times New Roman"/>
        </w:rPr>
      </w:pPr>
    </w:p>
    <w:p w:rsidR="004E25A0" w:rsidRDefault="004E25A0" w:rsidP="004E25A0">
      <w:pPr>
        <w:spacing w:after="0"/>
        <w:rPr>
          <w:rFonts w:ascii="Calibri" w:eastAsia="Calibri" w:hAnsi="Calibri" w:cs="Times New Roman"/>
        </w:rPr>
      </w:pPr>
    </w:p>
    <w:p w:rsidR="004E25A0" w:rsidRDefault="004E25A0" w:rsidP="004E25A0">
      <w:pPr>
        <w:spacing w:after="0"/>
        <w:rPr>
          <w:rFonts w:ascii="Calibri" w:eastAsia="Calibri" w:hAnsi="Calibri" w:cs="Times New Roman"/>
        </w:rPr>
      </w:pPr>
    </w:p>
    <w:p w:rsidR="004E25A0" w:rsidRDefault="004E25A0" w:rsidP="004E25A0">
      <w:pPr>
        <w:spacing w:after="0"/>
        <w:rPr>
          <w:rFonts w:ascii="Calibri" w:eastAsia="Calibri" w:hAnsi="Calibri" w:cs="Times New Roman"/>
        </w:rPr>
      </w:pPr>
    </w:p>
    <w:p w:rsidR="004E25A0" w:rsidRDefault="004E25A0" w:rsidP="004E25A0">
      <w:pPr>
        <w:spacing w:after="0"/>
        <w:rPr>
          <w:rFonts w:ascii="Calibri" w:eastAsia="Calibri" w:hAnsi="Calibri" w:cs="Times New Roman"/>
        </w:rPr>
      </w:pPr>
    </w:p>
    <w:p w:rsidR="004E25A0" w:rsidRDefault="004E25A0" w:rsidP="004E25A0">
      <w:pPr>
        <w:spacing w:after="0"/>
        <w:rPr>
          <w:rFonts w:ascii="Calibri" w:eastAsia="Calibri" w:hAnsi="Calibri" w:cs="Times New Roman"/>
        </w:rPr>
      </w:pPr>
    </w:p>
    <w:p w:rsidR="004E25A0" w:rsidRDefault="004E25A0" w:rsidP="004E25A0">
      <w:pPr>
        <w:spacing w:after="0"/>
        <w:rPr>
          <w:rFonts w:ascii="Calibri" w:eastAsia="Calibri" w:hAnsi="Calibri" w:cs="Times New Roman"/>
        </w:rPr>
      </w:pPr>
    </w:p>
    <w:p w:rsidR="004E25A0" w:rsidRPr="004E25A0" w:rsidRDefault="004E25A0" w:rsidP="004E25A0">
      <w:pPr>
        <w:spacing w:after="0"/>
        <w:rPr>
          <w:rFonts w:ascii="Calibri" w:eastAsia="Calibri" w:hAnsi="Calibri" w:cs="Times New Roman"/>
        </w:rPr>
      </w:pPr>
    </w:p>
    <w:p w:rsidR="004E25A0" w:rsidRPr="004E25A0" w:rsidRDefault="004E25A0" w:rsidP="004E25A0">
      <w:pPr>
        <w:spacing w:after="0"/>
        <w:rPr>
          <w:rFonts w:ascii="Calibri" w:eastAsia="Calibri" w:hAnsi="Calibri" w:cs="Times New Roman"/>
        </w:rPr>
      </w:pPr>
    </w:p>
    <w:p w:rsidR="004E25A0" w:rsidRPr="004E25A0" w:rsidRDefault="004E25A0" w:rsidP="004E25A0">
      <w:pPr>
        <w:spacing w:after="0"/>
        <w:rPr>
          <w:rFonts w:ascii="Calibri" w:eastAsia="Calibri" w:hAnsi="Calibri" w:cs="Times New Roman"/>
        </w:rPr>
      </w:pPr>
    </w:p>
    <w:p w:rsidR="004E25A0" w:rsidRPr="004E25A0" w:rsidRDefault="004E25A0" w:rsidP="004E25A0">
      <w:pPr>
        <w:tabs>
          <w:tab w:val="right" w:leader="dot" w:pos="9345"/>
        </w:tabs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E25A0" w:rsidRPr="004E25A0" w:rsidRDefault="004E25A0" w:rsidP="004E25A0">
      <w:pPr>
        <w:keepNext/>
        <w:numPr>
          <w:ilvl w:val="0"/>
          <w:numId w:val="1"/>
        </w:numPr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4E25A0">
        <w:rPr>
          <w:rFonts w:ascii="Times New Roman" w:eastAsia="Times New Roman" w:hAnsi="Times New Roman" w:cs="Times New Roman"/>
          <w:kern w:val="32"/>
          <w:sz w:val="24"/>
          <w:szCs w:val="24"/>
        </w:rPr>
        <w:lastRenderedPageBreak/>
        <w:fldChar w:fldCharType="end"/>
      </w:r>
      <w:bookmarkStart w:id="1" w:name="_Toc507674224"/>
      <w:bookmarkStart w:id="2" w:name="_Toc507747992"/>
      <w:bookmarkStart w:id="3" w:name="_Toc507748029"/>
      <w:r w:rsidRPr="004E25A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Общие положения</w:t>
      </w:r>
      <w:bookmarkEnd w:id="1"/>
      <w:bookmarkEnd w:id="2"/>
      <w:bookmarkEnd w:id="3"/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25A0" w:rsidRPr="004E25A0" w:rsidRDefault="004E25A0" w:rsidP="004E25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>1.1. Стандарт контрольно-счетной комиссии Грибановского муниципального района «</w:t>
      </w:r>
      <w:r w:rsidRPr="004E25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Предварительный контроль формирования проекта</w:t>
      </w:r>
      <w:r w:rsidRPr="004E25A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4E25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бюджета Грибановского муниципального района на очередной финансовый год и плановый период</w:t>
      </w:r>
      <w:r w:rsidRPr="004E25A0">
        <w:rPr>
          <w:rFonts w:ascii="Times New Roman" w:eastAsia="Calibri" w:hAnsi="Times New Roman" w:cs="Times New Roman"/>
          <w:sz w:val="28"/>
          <w:szCs w:val="28"/>
        </w:rPr>
        <w:t>» (далее - Стандарт) разработан с учетом положений:</w:t>
      </w:r>
    </w:p>
    <w:p w:rsidR="004E25A0" w:rsidRPr="004E25A0" w:rsidRDefault="004E25A0" w:rsidP="004E25A0">
      <w:pPr>
        <w:tabs>
          <w:tab w:val="left" w:pos="284"/>
        </w:tabs>
        <w:spacing w:after="0" w:line="240" w:lineRule="auto"/>
        <w:ind w:left="2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ab/>
        <w:t>- статей 157, 265, глав 20, 21 Бюджетного кодекса Российской Федерации (далее - Бюджетный кодекс, БК РФ);</w:t>
      </w:r>
    </w:p>
    <w:p w:rsidR="004E25A0" w:rsidRPr="004E25A0" w:rsidRDefault="004E25A0" w:rsidP="004E25A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ab/>
        <w:t>-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4E25A0" w:rsidRPr="004E25A0" w:rsidRDefault="004E25A0" w:rsidP="004E25A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 xml:space="preserve">     -</w:t>
      </w:r>
      <w:r w:rsidRPr="004E25A0">
        <w:rPr>
          <w:rFonts w:ascii="Times New Roman" w:eastAsia="Calibri" w:hAnsi="Times New Roman" w:cs="Times New Roman"/>
          <w:sz w:val="28"/>
          <w:szCs w:val="28"/>
        </w:rPr>
        <w:tab/>
        <w:t>Положения о бюджетном процессе в Грибановском муниципальном районе Воронежской области (решение Совета народных депутатов Грибановского муниципального района Воронежской области от 25.12.2013 № 154);</w:t>
      </w:r>
    </w:p>
    <w:p w:rsidR="004E25A0" w:rsidRPr="004E25A0" w:rsidRDefault="004E25A0" w:rsidP="004E25A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ab/>
        <w:t xml:space="preserve">  - Положения о контрольно-счетной комиссии Грибановского муниципального района (решение Совета народных депутатов Грибановского муниципального района Воронежской области от 09.09.20</w:t>
      </w:r>
      <w:r w:rsidR="00B10CFA">
        <w:rPr>
          <w:rFonts w:ascii="Times New Roman" w:eastAsia="Calibri" w:hAnsi="Times New Roman" w:cs="Times New Roman"/>
          <w:sz w:val="28"/>
          <w:szCs w:val="28"/>
        </w:rPr>
        <w:t>2</w:t>
      </w:r>
      <w:r w:rsidRPr="004E25A0">
        <w:rPr>
          <w:rFonts w:ascii="Times New Roman" w:eastAsia="Calibri" w:hAnsi="Times New Roman" w:cs="Times New Roman"/>
          <w:sz w:val="28"/>
          <w:szCs w:val="28"/>
        </w:rPr>
        <w:t>1 № 230);</w:t>
      </w:r>
    </w:p>
    <w:p w:rsidR="004E25A0" w:rsidRPr="004E25A0" w:rsidRDefault="004E25A0" w:rsidP="004E25A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ab/>
        <w:t>- Регламента Контрольно-счетной комиссии Грибановского муниципального района, утвержденного приказом контрольно-счетной комиссии Грибановского муниципального района от 10.01.2022 № 1 (далее - Регламент);</w:t>
      </w:r>
    </w:p>
    <w:p w:rsidR="004E25A0" w:rsidRPr="004E25A0" w:rsidRDefault="004E25A0" w:rsidP="004E25A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ab/>
        <w:t>-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17.10.2014 № 47К (993);</w:t>
      </w:r>
    </w:p>
    <w:p w:rsidR="004E25A0" w:rsidRPr="004E25A0" w:rsidRDefault="004E25A0" w:rsidP="004E25A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ab/>
        <w:t>- стандартов Счетной Палаты Российской Федерации, ИНТОСАИ и других международных стандартов в области государственного и муниципального финансового контроля и аудита.</w:t>
      </w:r>
    </w:p>
    <w:p w:rsidR="004E25A0" w:rsidRPr="004E25A0" w:rsidRDefault="004E25A0" w:rsidP="004E25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>1.2. Стандарт разработан для использования сотрудниками контрольно-счетной комиссии при организации и проведении предварительного контроля формирования проекта бюджета и подготовки заключения Контрольно-счетной комиссии на проект решения о бюджете на очередной финансовый год и на плановый период (далее – проект решения о бюджете).</w:t>
      </w:r>
    </w:p>
    <w:p w:rsidR="004E25A0" w:rsidRPr="004E25A0" w:rsidRDefault="004E25A0" w:rsidP="004E25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 xml:space="preserve">1.3. Целью Стандарта является установление единых принципов, правил и процедур </w:t>
      </w:r>
      <w:proofErr w:type="gramStart"/>
      <w:r w:rsidRPr="004E25A0">
        <w:rPr>
          <w:rFonts w:ascii="Times New Roman" w:eastAsia="Calibri" w:hAnsi="Times New Roman" w:cs="Times New Roman"/>
          <w:sz w:val="28"/>
          <w:szCs w:val="28"/>
        </w:rPr>
        <w:t>проведения предварительного контроля формирования проекта бюджета</w:t>
      </w:r>
      <w:proofErr w:type="gramEnd"/>
      <w:r w:rsidRPr="004E25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25A0" w:rsidRPr="004E25A0" w:rsidRDefault="004E25A0" w:rsidP="004E25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>1.4. Настоящий Стандарт устанавливает:</w:t>
      </w:r>
    </w:p>
    <w:p w:rsidR="004E25A0" w:rsidRPr="004E25A0" w:rsidRDefault="004E25A0" w:rsidP="004E25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 xml:space="preserve"> - основные принципы и этапы </w:t>
      </w:r>
      <w:proofErr w:type="gramStart"/>
      <w:r w:rsidRPr="004E25A0">
        <w:rPr>
          <w:rFonts w:ascii="Times New Roman" w:eastAsia="Calibri" w:hAnsi="Times New Roman" w:cs="Times New Roman"/>
          <w:sz w:val="28"/>
          <w:szCs w:val="28"/>
        </w:rPr>
        <w:t>проведения предварительного контроля формирования проекта бюджета</w:t>
      </w:r>
      <w:proofErr w:type="gramEnd"/>
      <w:r w:rsidRPr="004E25A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25A0" w:rsidRPr="004E25A0" w:rsidRDefault="004E25A0" w:rsidP="004E25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lastRenderedPageBreak/>
        <w:t>- требования к содержанию комплекса экспертно-аналитических мероприятий и проверок обоснованности формирования проекта бюджета;</w:t>
      </w:r>
    </w:p>
    <w:p w:rsidR="004E25A0" w:rsidRPr="004E25A0" w:rsidRDefault="004E25A0" w:rsidP="004E25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>- структуру, содержание и основные требования к заключению Контрольно-счетной комиссии на проект решения о бюджете.</w:t>
      </w:r>
    </w:p>
    <w:p w:rsidR="004E25A0" w:rsidRPr="004E25A0" w:rsidRDefault="004E25A0" w:rsidP="004E25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>1.5. При организации и проведении предварительного контроля формирования проекта бюджета сотрудники КСК обязаны руководствоваться Конституцией Российской Федерации, бюджетным законодательством, другими нормативными правовыми актами, Регламентом, а также приказами, инструкциями, иными нормативными документами КСК и настоящим Стандартом.</w:t>
      </w:r>
    </w:p>
    <w:p w:rsidR="004E25A0" w:rsidRPr="004E25A0" w:rsidRDefault="004E25A0" w:rsidP="004E25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>1.6. Решение вопросов, не урегулированных настоящим Стандартом, осуществляется председателем КСК, и вводится в действие приказом КСК.</w:t>
      </w:r>
    </w:p>
    <w:p w:rsidR="004E25A0" w:rsidRPr="004E25A0" w:rsidRDefault="004E25A0" w:rsidP="004E25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4E25A0" w:rsidRPr="004E25A0" w:rsidRDefault="004E25A0" w:rsidP="004E25A0">
      <w:pPr>
        <w:keepNext/>
        <w:numPr>
          <w:ilvl w:val="0"/>
          <w:numId w:val="1"/>
        </w:numPr>
        <w:tabs>
          <w:tab w:val="left" w:pos="284"/>
        </w:tabs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4" w:name="_Toc497386705"/>
      <w:bookmarkStart w:id="5" w:name="_Toc507747993"/>
      <w:bookmarkStart w:id="6" w:name="_Toc507748030"/>
      <w:r w:rsidRPr="004E25A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Цели, задачи, предмет и  </w:t>
      </w:r>
      <w:bookmarkEnd w:id="4"/>
      <w:r w:rsidRPr="004E25A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объекты осуществления предварительного аудита формирования  бюджета</w:t>
      </w:r>
      <w:bookmarkEnd w:id="5"/>
      <w:bookmarkEnd w:id="6"/>
    </w:p>
    <w:p w:rsidR="004E25A0" w:rsidRPr="004E25A0" w:rsidRDefault="004E25A0" w:rsidP="004E25A0">
      <w:pPr>
        <w:keepNext/>
        <w:tabs>
          <w:tab w:val="left" w:pos="284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4E25A0" w:rsidRPr="004E25A0" w:rsidRDefault="004E25A0" w:rsidP="004E25A0">
      <w:pPr>
        <w:widowControl w:val="0"/>
        <w:tabs>
          <w:tab w:val="left" w:pos="284"/>
          <w:tab w:val="left" w:pos="12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Предметом предварительного контроля является проект решения Совета народных депутатов Грибановского муниципального района о местном бюджете на очередной финансовый год и на плановый период, документы и материалы, представляемые одновременно с ним, включая прогноз социально-экономического развития Грибановского муниципального района, прогноз основных характеристик (общий объем доходов, общий объем расходов, дефицита (профицита) бюджета на очередной финансовый год и плановый период, оценку ожидаемого исполнения бюджета</w:t>
      </w:r>
      <w:proofErr w:type="gramEnd"/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текущий финансовый год, паспорта муниципальных  программ, а также иные документы, материалы и расчеты по формированию проекта бюджета и показателей прогноза социально-экономического развития Грибановского муниципального района.</w:t>
      </w:r>
    </w:p>
    <w:p w:rsidR="004E25A0" w:rsidRPr="004E25A0" w:rsidRDefault="004E25A0" w:rsidP="004E25A0">
      <w:pPr>
        <w:tabs>
          <w:tab w:val="left" w:pos="284"/>
          <w:tab w:val="left" w:pos="155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5A0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Pr="004E25A0">
        <w:rPr>
          <w:rFonts w:ascii="Times New Roman" w:eastAsia="Times New Roman" w:hAnsi="Times New Roman" w:cs="Times New Roman"/>
          <w:sz w:val="28"/>
          <w:szCs w:val="28"/>
        </w:rPr>
        <w:t xml:space="preserve">Целью подготовки заключения является оценка соблюдения требований Бюджетного кодекса Российской Федерации, законодательства Воронежской области, Положения о бюджетном процессе в </w:t>
      </w: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Грибановском муниципальном районе</w:t>
      </w:r>
      <w:r w:rsidRPr="004E25A0">
        <w:rPr>
          <w:rFonts w:ascii="Times New Roman" w:eastAsia="Times New Roman" w:hAnsi="Times New Roman" w:cs="Times New Roman"/>
          <w:sz w:val="28"/>
          <w:szCs w:val="28"/>
        </w:rPr>
        <w:t>, других нормативных правовых актов, а также оценка обоснованности и достоверности показателей, отраженных в проекте решения</w:t>
      </w:r>
      <w:r w:rsidRPr="004E25A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Совета народных депутатов Грибановского муниципального района</w:t>
      </w:r>
      <w:r w:rsidRPr="004E25A0">
        <w:rPr>
          <w:rFonts w:ascii="Times New Roman" w:eastAsia="Times New Roman" w:hAnsi="Times New Roman" w:cs="Times New Roman"/>
          <w:sz w:val="28"/>
          <w:szCs w:val="28"/>
        </w:rPr>
        <w:t xml:space="preserve"> о местном бюджете на очередной финансовый год и плановый период. </w:t>
      </w:r>
      <w:proofErr w:type="gramEnd"/>
    </w:p>
    <w:p w:rsidR="004E25A0" w:rsidRPr="004E25A0" w:rsidRDefault="004E25A0" w:rsidP="004E25A0">
      <w:pPr>
        <w:tabs>
          <w:tab w:val="left" w:pos="284"/>
          <w:tab w:val="left" w:pos="1553"/>
        </w:tabs>
        <w:spacing w:after="0"/>
        <w:ind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5A0">
        <w:rPr>
          <w:rFonts w:ascii="Times New Roman" w:eastAsia="Times New Roman" w:hAnsi="Times New Roman" w:cs="Times New Roman"/>
          <w:sz w:val="28"/>
          <w:szCs w:val="28"/>
        </w:rPr>
        <w:t>2.3. Задачами предварительного контроля являются:</w:t>
      </w:r>
    </w:p>
    <w:p w:rsidR="004E25A0" w:rsidRPr="004E25A0" w:rsidRDefault="004E25A0" w:rsidP="004E25A0">
      <w:pPr>
        <w:tabs>
          <w:tab w:val="left" w:pos="284"/>
          <w:tab w:val="left" w:pos="851"/>
        </w:tabs>
        <w:spacing w:after="0"/>
        <w:ind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5A0"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соответствия действующему законодательству проекта решения о бюджете, а также документов и материалов, представляемых одновременно с ним в </w:t>
      </w: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Совет народных депутатов Грибановского муниципального района</w:t>
      </w:r>
      <w:r w:rsidRPr="004E25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A0" w:rsidRPr="004E25A0" w:rsidRDefault="004E25A0" w:rsidP="004E25A0">
      <w:pPr>
        <w:tabs>
          <w:tab w:val="left" w:pos="284"/>
          <w:tab w:val="left" w:pos="851"/>
        </w:tabs>
        <w:spacing w:after="0"/>
        <w:ind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5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определение обоснованности, целесообразности и достоверности показателей, содержащихся в проекте решения о бюджете, документах и материалах, представляемых одновременно с ним в </w:t>
      </w: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Совет народных депутатов Грибановского муниципального района</w:t>
      </w:r>
      <w:r w:rsidRPr="004E25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A0" w:rsidRPr="004E25A0" w:rsidRDefault="004E25A0" w:rsidP="004E25A0">
      <w:pPr>
        <w:tabs>
          <w:tab w:val="left" w:pos="284"/>
          <w:tab w:val="left" w:pos="851"/>
        </w:tabs>
        <w:spacing w:after="0"/>
        <w:ind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5A0">
        <w:rPr>
          <w:rFonts w:ascii="Times New Roman" w:eastAsia="Times New Roman" w:hAnsi="Times New Roman" w:cs="Times New Roman"/>
          <w:sz w:val="28"/>
          <w:szCs w:val="28"/>
        </w:rPr>
        <w:t>- оценка эффективности проекта бюджета как инструмента социально-экономической политики муниципального района, его соответствия положениям ежегодного Бюджетного послания Президента Российской Федерации и иным программным документам;</w:t>
      </w:r>
    </w:p>
    <w:p w:rsidR="004E25A0" w:rsidRPr="004E25A0" w:rsidRDefault="004E25A0" w:rsidP="004E25A0">
      <w:pPr>
        <w:tabs>
          <w:tab w:val="left" w:pos="284"/>
          <w:tab w:val="left" w:pos="851"/>
        </w:tabs>
        <w:spacing w:after="0"/>
        <w:ind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5A0">
        <w:rPr>
          <w:rFonts w:ascii="Times New Roman" w:eastAsia="Times New Roman" w:hAnsi="Times New Roman" w:cs="Times New Roman"/>
          <w:sz w:val="28"/>
          <w:szCs w:val="28"/>
        </w:rPr>
        <w:t>- 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4E25A0" w:rsidRPr="004E25A0" w:rsidRDefault="004E25A0" w:rsidP="004E25A0">
      <w:pPr>
        <w:tabs>
          <w:tab w:val="left" w:pos="284"/>
          <w:tab w:val="left" w:pos="1553"/>
        </w:tabs>
        <w:spacing w:after="0"/>
        <w:ind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5A0">
        <w:rPr>
          <w:rFonts w:ascii="Times New Roman" w:eastAsia="Times New Roman" w:hAnsi="Times New Roman" w:cs="Times New Roman"/>
          <w:sz w:val="28"/>
          <w:szCs w:val="28"/>
        </w:rPr>
        <w:t>2.4. Объектами предварительного контроля формирования проекта бюджета являются: финансовый орган администрации Грибановского муниципального района; главные администраторы доходов бюджета, главные распорядители средств бюджета; другие субъекты бюджетного планирования, и иные участники бюджетного процесса (выборочно).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При осуществлении предварительного контроля формирования бюджета должно быть проверено и проанализировано соответствие проекта решения о бюджете и документов, представляемых одновременно с ним </w:t>
      </w:r>
      <w:proofErr w:type="gramStart"/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Совета</w:t>
      </w:r>
      <w:proofErr w:type="gramEnd"/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народных депутатов Грибановского муниципального района, положениям Бюджетного кодекса, в том числе: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  <w:tab w:val="left" w:pos="993"/>
          <w:tab w:val="left" w:pos="145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при оценке экономических показателей прогноза социально- экономического развития Грибановского муниципального района обращается внимание на соблюдение принципа достоверности бюджета;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  <w:tab w:val="left" w:pos="993"/>
          <w:tab w:val="left" w:pos="144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соблюдение полноты отражения доходов, расходов и источников финансирования дефицитов бюджетов, определения сбалансированности бюджета, соблюдение принципов прозрачности, адресности и целевого характера бюджетных средств, подведомственности расходов бюджетов, единства кассы.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  <w:tab w:val="left" w:pos="993"/>
          <w:tab w:val="left" w:pos="144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соблюдение принципа результативности и эффективности использования бюджетных средств анализируется при рассмотрении муниципальных программ (паспортов муниципальных программ, проектов изменений в указанные паспорта).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  <w:tab w:val="left" w:pos="993"/>
          <w:tab w:val="left" w:pos="144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2.6. При оценке и анализе доходов бюджета следует обратить внимание на следующее: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доходы от использования имущества, находящегося в муниципальной собственности, и платных услуг, оказываемых муниципальными бюджетными учреждениями, средства безвозмездных поступлений и иных доходов, учитываемых при составлении, утверждении, исполнении бюджета, </w:t>
      </w: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 также составлении отчетности о его исполнении, включаются в состав доходов бюджета;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  <w:tab w:val="left" w:pos="922"/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- оцениваются наиболее вероятные объемы поступлений доходов по каждой подгруппе налоговых и неналоговых доходов при благоприятном и неблагоприятном развитии экономической ситуации в муниципальном образовании;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  <w:tab w:val="left" w:pos="922"/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проверяется полнота, достоверность и актуальность данных, использованных при прогнозировании объемов поступления по видам налоговых доходов;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  <w:tab w:val="left" w:pos="922"/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проверяется корректность вычислений, произведенных при прогнозировании неналоговых доходов;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  <w:tab w:val="left" w:pos="922"/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проверяется непротиворечивость данных о прогнозируемых объемах поступлений по неналоговым доходам.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  <w:tab w:val="left" w:pos="993"/>
          <w:tab w:val="left" w:pos="144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 При оценке и анализе расходов бюджета необходимо обратить внимание </w:t>
      </w:r>
      <w:proofErr w:type="gramStart"/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  <w:tab w:val="left" w:pos="922"/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соблюдение принципа достоверности бюджета, который означает реалистичность расчета расходов бюджета;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  <w:tab w:val="left" w:pos="952"/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соблюдение положений формирования расходов бюджетов, установленных Бюджетным кодексом РФ; 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  <w:tab w:val="left" w:pos="932"/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обеспеченность расходных обязательств;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  <w:tab w:val="left" w:pos="927"/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обоснованность бюджетных ассигнований в части сроков предоставления бюджетных ассигнований на очередной финансовый год и на плановый период; 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  <w:tab w:val="left" w:pos="993"/>
          <w:tab w:val="left" w:pos="145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2.8. При оценке и анализе межбюджетных отношений обратить внимание на объем получаемых межбюджетных трансфертов, соблюдение условий предоставления межбюджетных трансфертов из других бюджетов бюджетной системы.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  <w:tab w:val="left" w:pos="993"/>
          <w:tab w:val="left" w:pos="145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При оценке и анализе источников финансирования дефицита бюджета, обращается внимание на соблюдение требований Бюджетного кодекса РФ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финансирования. 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Проверка</w:t>
      </w:r>
      <w:r w:rsidRPr="004E25A0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анализ обоснованности и достоверности </w:t>
      </w:r>
      <w:proofErr w:type="gramStart"/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формирования источников финансирования дефицита бюджета</w:t>
      </w:r>
      <w:proofErr w:type="gramEnd"/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предельных размеров муниципального долга в проекте бюджета на очередной финансовый год и на плановый период должны предусматривать: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  <w:tab w:val="left" w:pos="913"/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оценку </w:t>
      </w:r>
      <w:proofErr w:type="gramStart"/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обоснованности формирования источников внутреннего финансирования дефицита бюджета</w:t>
      </w:r>
      <w:proofErr w:type="gramEnd"/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структуры источников финансирования дефицита бюджета.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  <w:tab w:val="left" w:pos="922"/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сопоставление динамики средств на погашение муниципального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  <w:tab w:val="left" w:pos="922"/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- 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платежей.</w:t>
      </w:r>
    </w:p>
    <w:p w:rsidR="004E25A0" w:rsidRPr="004E25A0" w:rsidRDefault="004E25A0" w:rsidP="004E25A0">
      <w:pPr>
        <w:widowControl w:val="0"/>
        <w:numPr>
          <w:ilvl w:val="1"/>
          <w:numId w:val="1"/>
        </w:numPr>
        <w:tabs>
          <w:tab w:val="left" w:pos="284"/>
          <w:tab w:val="left" w:pos="851"/>
          <w:tab w:val="left" w:pos="993"/>
          <w:tab w:val="left" w:pos="1450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При анализе муниципальных долговых обязательств оценивается объем и полнота отражения данных учета муниципальных долговых обязательств,  верхний предел муниципального долга по состоянию на 1 января года, следующего за очередным финансовым годом, в том числе верхний предел долга по муниципальным гарантиям, принимаемые меры по управлению муниципальным долгом и соблюдение ответственности по долговым обязательствам.</w:t>
      </w:r>
      <w:proofErr w:type="gramEnd"/>
    </w:p>
    <w:p w:rsidR="004E25A0" w:rsidRPr="004E25A0" w:rsidRDefault="004E25A0" w:rsidP="004E25A0">
      <w:pPr>
        <w:widowControl w:val="0"/>
        <w:tabs>
          <w:tab w:val="left" w:pos="284"/>
          <w:tab w:val="left" w:pos="851"/>
          <w:tab w:val="left" w:pos="993"/>
          <w:tab w:val="left" w:pos="1450"/>
        </w:tabs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25A0" w:rsidRPr="004E25A0" w:rsidRDefault="004E25A0" w:rsidP="004E25A0">
      <w:pPr>
        <w:keepNext/>
        <w:tabs>
          <w:tab w:val="left" w:pos="28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7" w:name="_Toc497386707"/>
      <w:bookmarkStart w:id="8" w:name="_Toc507747994"/>
      <w:bookmarkStart w:id="9" w:name="_Toc507748031"/>
      <w:r w:rsidRPr="004E25A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3. Общие требования к подготовке заключения контрольно-счетной комиссии на проект решения о местном бюджете на очередной финансовый год и плановый период</w:t>
      </w:r>
      <w:bookmarkEnd w:id="7"/>
      <w:bookmarkEnd w:id="8"/>
      <w:bookmarkEnd w:id="9"/>
    </w:p>
    <w:p w:rsidR="004E25A0" w:rsidRPr="004E25A0" w:rsidRDefault="004E25A0" w:rsidP="004E25A0">
      <w:pPr>
        <w:keepNext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2"/>
          <w:sz w:val="24"/>
          <w:szCs w:val="24"/>
          <w:u w:val="single"/>
        </w:rPr>
      </w:pPr>
    </w:p>
    <w:p w:rsidR="004E25A0" w:rsidRPr="004E25A0" w:rsidRDefault="004E25A0" w:rsidP="004E25A0">
      <w:pPr>
        <w:keepNext/>
        <w:tabs>
          <w:tab w:val="left" w:pos="284"/>
          <w:tab w:val="left" w:pos="1179"/>
          <w:tab w:val="left" w:pos="1397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10" w:name="_Toc497386708"/>
      <w:bookmarkStart w:id="11" w:name="_Toc507747995"/>
      <w:bookmarkStart w:id="12" w:name="_Toc507748032"/>
      <w:r w:rsidRPr="004E25A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3.1. При подготовке заключения контрольно-счетная комиссия должна руководствоваться принципами законности, объективности и независимости.</w:t>
      </w:r>
      <w:bookmarkEnd w:id="10"/>
      <w:bookmarkEnd w:id="11"/>
      <w:bookmarkEnd w:id="12"/>
    </w:p>
    <w:p w:rsidR="004E25A0" w:rsidRPr="004E25A0" w:rsidRDefault="004E25A0" w:rsidP="004E25A0">
      <w:pPr>
        <w:widowControl w:val="0"/>
        <w:tabs>
          <w:tab w:val="left" w:pos="284"/>
          <w:tab w:val="left" w:pos="12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3.2. Для подготовки обоснованных выводов, излагаемых в экспертном заключении, сотрудники контрольно-счетной комиссии обязаны внимательно изучить предоставленные документы и материалы, а также предварительные итоги социально-экономического развития муниципального района за истекший период текущего финансового года и ожидаемые итоги социально-экономического развития городского округа за текущий финансовый год.</w:t>
      </w:r>
    </w:p>
    <w:p w:rsidR="004E25A0" w:rsidRPr="004E25A0" w:rsidRDefault="004E25A0" w:rsidP="004E25A0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5A0">
        <w:rPr>
          <w:rFonts w:ascii="Times New Roman" w:eastAsia="Times New Roman" w:hAnsi="Times New Roman" w:cs="Times New Roman"/>
          <w:sz w:val="28"/>
          <w:szCs w:val="28"/>
        </w:rPr>
        <w:t>3.3. Подготовка заключения производится с учетом действующих правовых основ формирования, оформления и представления проекта решения о местном бюджете на очередной финансовый год и плановый период, а также документов и материалов, направляемых одновременно с ним.</w:t>
      </w:r>
      <w:r w:rsidRPr="004E25A0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</w:rPr>
        <w:t xml:space="preserve"> </w:t>
      </w:r>
    </w:p>
    <w:p w:rsidR="004E25A0" w:rsidRPr="004E25A0" w:rsidRDefault="004E25A0" w:rsidP="004E25A0">
      <w:pPr>
        <w:tabs>
          <w:tab w:val="left" w:pos="284"/>
          <w:tab w:val="left" w:pos="1722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>3.4. При подготовке заключения необходимо руководствоваться следующими требованиями:</w:t>
      </w:r>
    </w:p>
    <w:p w:rsidR="004E25A0" w:rsidRPr="004E25A0" w:rsidRDefault="004E25A0" w:rsidP="004E25A0">
      <w:pPr>
        <w:tabs>
          <w:tab w:val="left" w:pos="284"/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E25A0">
        <w:rPr>
          <w:rFonts w:ascii="Times New Roman" w:eastAsia="Calibri" w:hAnsi="Times New Roman" w:cs="Times New Roman"/>
          <w:sz w:val="28"/>
          <w:szCs w:val="28"/>
        </w:rPr>
        <w:t>содержание заключения должно соответствовать целям и задачам экспертно-аналитического мероприятия;</w:t>
      </w:r>
    </w:p>
    <w:p w:rsidR="004E25A0" w:rsidRPr="004E25A0" w:rsidRDefault="004E25A0" w:rsidP="004E25A0">
      <w:pPr>
        <w:tabs>
          <w:tab w:val="left" w:pos="284"/>
          <w:tab w:val="left" w:pos="114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E25A0">
        <w:rPr>
          <w:rFonts w:ascii="Times New Roman" w:eastAsia="Calibri" w:hAnsi="Times New Roman" w:cs="Times New Roman"/>
          <w:sz w:val="28"/>
          <w:szCs w:val="28"/>
        </w:rPr>
        <w:t>заключение должно содержать только ту информацию и выводы, которые подтверждаются соответствующей документацией;</w:t>
      </w:r>
    </w:p>
    <w:p w:rsidR="004E25A0" w:rsidRPr="004E25A0" w:rsidRDefault="004E25A0" w:rsidP="004E25A0">
      <w:pPr>
        <w:tabs>
          <w:tab w:val="left" w:pos="284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4E25A0">
        <w:rPr>
          <w:rFonts w:ascii="Times New Roman" w:eastAsia="Calibri" w:hAnsi="Times New Roman" w:cs="Times New Roman"/>
          <w:sz w:val="28"/>
          <w:szCs w:val="28"/>
        </w:rPr>
        <w:t>заключение должно отвечать требованиям объективности и своевременности, отражать как положительные, так и отрицательные стороны параметров проекта бюджета;</w:t>
      </w:r>
    </w:p>
    <w:p w:rsidR="004E25A0" w:rsidRPr="004E25A0" w:rsidRDefault="004E25A0" w:rsidP="004E25A0">
      <w:pPr>
        <w:tabs>
          <w:tab w:val="left" w:pos="284"/>
          <w:tab w:val="left" w:pos="115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E25A0">
        <w:rPr>
          <w:rFonts w:ascii="Times New Roman" w:eastAsia="Calibri" w:hAnsi="Times New Roman" w:cs="Times New Roman"/>
          <w:sz w:val="28"/>
          <w:szCs w:val="28"/>
        </w:rPr>
        <w:t>обобщенные выводы и рекомендации, отраженные в заключении, должны быть аргументированными и логически следовать из указанных в заключени</w:t>
      </w:r>
      <w:proofErr w:type="gramStart"/>
      <w:r w:rsidRPr="004E25A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4E25A0">
        <w:rPr>
          <w:rFonts w:ascii="Times New Roman" w:eastAsia="Calibri" w:hAnsi="Times New Roman" w:cs="Times New Roman"/>
          <w:sz w:val="28"/>
          <w:szCs w:val="28"/>
        </w:rPr>
        <w:t xml:space="preserve"> нарушений, быть конкретными, сжатыми и простыми по форме и содержанию.</w:t>
      </w:r>
    </w:p>
    <w:p w:rsidR="004E25A0" w:rsidRPr="004E25A0" w:rsidRDefault="004E25A0" w:rsidP="004E25A0">
      <w:pPr>
        <w:widowControl w:val="0"/>
        <w:tabs>
          <w:tab w:val="left" w:pos="284"/>
          <w:tab w:val="left" w:pos="1256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3.5.В заключени</w:t>
      </w:r>
      <w:proofErr w:type="gramStart"/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контрольно-счетной комиссии должны быть отражены следующие основные вопросы:</w:t>
      </w:r>
    </w:p>
    <w:p w:rsidR="004E25A0" w:rsidRPr="004E25A0" w:rsidRDefault="004E25A0" w:rsidP="004E25A0">
      <w:pPr>
        <w:widowControl w:val="0"/>
        <w:tabs>
          <w:tab w:val="left" w:pos="284"/>
          <w:tab w:val="left" w:pos="944"/>
        </w:tabs>
        <w:spacing w:after="0"/>
        <w:ind w:firstLine="7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оценка обоснованности и достоверности основных параметров прогноза социально-экономического развития Грибановского муниципального района; </w:t>
      </w:r>
    </w:p>
    <w:p w:rsidR="004E25A0" w:rsidRPr="004E25A0" w:rsidRDefault="004E25A0" w:rsidP="004E25A0">
      <w:pPr>
        <w:widowControl w:val="0"/>
        <w:tabs>
          <w:tab w:val="left" w:pos="284"/>
          <w:tab w:val="left" w:pos="944"/>
        </w:tabs>
        <w:spacing w:after="0"/>
        <w:ind w:firstLine="7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оценка </w:t>
      </w:r>
      <w:proofErr w:type="gramStart"/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соответствия проекта решения Совета народных депутатов Грибановского муниципального района</w:t>
      </w:r>
      <w:proofErr w:type="gramEnd"/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бюджете на очередной финансовый год и на плановый период Бюджетному кодексу и иным нормативным правовым актам, регламентирующим бюджетный процесс;</w:t>
      </w:r>
    </w:p>
    <w:p w:rsidR="004E25A0" w:rsidRPr="004E25A0" w:rsidRDefault="004E25A0" w:rsidP="004E25A0">
      <w:pPr>
        <w:widowControl w:val="0"/>
        <w:tabs>
          <w:tab w:val="left" w:pos="284"/>
          <w:tab w:val="left" w:pos="93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обоснованности действующих и принимаемых расходных обязательств;</w:t>
      </w:r>
    </w:p>
    <w:p w:rsidR="004E25A0" w:rsidRPr="004E25A0" w:rsidRDefault="004E25A0" w:rsidP="004E25A0">
      <w:pPr>
        <w:widowControl w:val="0"/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- предложения и рекомендации контрольно-счетной комиссии по совершенствованию прогнозирования и планирования основных показателей бюджета на очередной финансовый год и на плановый период, совершенствованию бюджетного процесса, результативности бюджетных расходов.</w:t>
      </w:r>
    </w:p>
    <w:p w:rsidR="004E25A0" w:rsidRPr="004E25A0" w:rsidRDefault="004E25A0" w:rsidP="004E25A0">
      <w:pPr>
        <w:tabs>
          <w:tab w:val="left" w:pos="284"/>
          <w:tab w:val="left" w:pos="158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>3.6. Выявленные в отчете ошибки, неточности, несоответствия, нарушения должны быть оценены на предмет обоснованности, весомости и возможности нанесения ущерба бюджету муниципального района.</w:t>
      </w:r>
    </w:p>
    <w:p w:rsidR="004E25A0" w:rsidRPr="004E25A0" w:rsidRDefault="004E25A0" w:rsidP="004E25A0">
      <w:pPr>
        <w:tabs>
          <w:tab w:val="left" w:pos="284"/>
          <w:tab w:val="left" w:pos="146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 xml:space="preserve"> 3.7. Ответственность за подготовку и предоставление в контрольно-счетную комиссию необходимых для подготовки заключения документов и материалов несут объекты экспертно-аналитического мероприятия.</w:t>
      </w:r>
    </w:p>
    <w:p w:rsidR="004E25A0" w:rsidRPr="004E25A0" w:rsidRDefault="004E25A0" w:rsidP="004E25A0">
      <w:pPr>
        <w:tabs>
          <w:tab w:val="left" w:pos="284"/>
          <w:tab w:val="left" w:pos="110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 xml:space="preserve">3.8. Подготовленное заключение контрольно-счетной комиссией направляется </w:t>
      </w:r>
      <w:proofErr w:type="gramStart"/>
      <w:r w:rsidRPr="004E25A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E25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Совета</w:t>
      </w:r>
      <w:proofErr w:type="gramEnd"/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народных депутатов Грибановского муниципального района</w:t>
      </w:r>
      <w:r w:rsidRPr="004E25A0">
        <w:rPr>
          <w:rFonts w:ascii="Times New Roman" w:eastAsia="Calibri" w:hAnsi="Times New Roman" w:cs="Times New Roman"/>
          <w:sz w:val="28"/>
          <w:szCs w:val="28"/>
        </w:rPr>
        <w:t xml:space="preserve">  и администрацию </w:t>
      </w: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Грибановского муниципального района</w:t>
      </w:r>
      <w:r w:rsidRPr="004E25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25A0" w:rsidRPr="004E25A0" w:rsidRDefault="004E25A0" w:rsidP="004E25A0">
      <w:pPr>
        <w:tabs>
          <w:tab w:val="left" w:pos="284"/>
          <w:tab w:val="left" w:pos="110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4E25A0" w:rsidRPr="004E25A0" w:rsidRDefault="004E25A0" w:rsidP="004E25A0">
      <w:pPr>
        <w:keepNext/>
        <w:tabs>
          <w:tab w:val="left" w:pos="28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3" w:name="_Toc497386709"/>
      <w:bookmarkStart w:id="14" w:name="_Toc507747996"/>
      <w:bookmarkStart w:id="15" w:name="_Toc507748033"/>
      <w:r w:rsidRPr="004E25A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4. Этапы подготовки заключения Контрольно-счетной палаты на проект решения о местном бюджете на очередной финансовый год и плановый период</w:t>
      </w:r>
      <w:bookmarkEnd w:id="13"/>
      <w:bookmarkEnd w:id="14"/>
      <w:bookmarkEnd w:id="15"/>
    </w:p>
    <w:p w:rsidR="004E25A0" w:rsidRPr="004E25A0" w:rsidRDefault="004E25A0" w:rsidP="004E25A0">
      <w:pPr>
        <w:keepNext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2"/>
          <w:sz w:val="24"/>
          <w:szCs w:val="24"/>
        </w:rPr>
      </w:pPr>
      <w:r w:rsidRPr="004E25A0">
        <w:rPr>
          <w:rFonts w:ascii="Times New Roman" w:eastAsia="Times New Roman" w:hAnsi="Times New Roman" w:cs="Times New Roman"/>
          <w:b/>
          <w:bCs/>
          <w:color w:val="000080"/>
          <w:kern w:val="32"/>
          <w:sz w:val="24"/>
          <w:szCs w:val="24"/>
          <w:u w:val="single"/>
        </w:rPr>
        <w:t xml:space="preserve">      </w:t>
      </w:r>
    </w:p>
    <w:p w:rsidR="004E25A0" w:rsidRPr="004E25A0" w:rsidRDefault="004E25A0" w:rsidP="004E25A0">
      <w:pPr>
        <w:widowControl w:val="0"/>
        <w:tabs>
          <w:tab w:val="left" w:pos="284"/>
          <w:tab w:val="left" w:pos="1234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4.1.</w:t>
      </w:r>
      <w:r w:rsidRPr="004E25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предварительного контроля проекта решения о местном бюджете осуществляется исходя из установленных нормативными </w:t>
      </w: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правовыми актами местного самоуправления этапов и сроков бюджетного процесса в части формирования проекта бюджета на очередной финансовый год и на плановый период и предусматривает следующие этапы:</w:t>
      </w:r>
      <w:proofErr w:type="gramEnd"/>
    </w:p>
    <w:p w:rsidR="004E25A0" w:rsidRPr="004E25A0" w:rsidRDefault="004E25A0" w:rsidP="004E25A0">
      <w:pPr>
        <w:widowControl w:val="0"/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- анализ основных направлений бюджетной и налоговой политики;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- анализ предварительных итогов социально-экономического развития муниципального района за истекший период текущего финансового года и ожидаемые итоги социально-экономического развития муниципального района за текущий финансовый год;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прогноза социально-экономического развития городского округа;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- анализ основных характеристик бюджета (общий объем доходов, расходов, дефицита (профицита) на очередной финансовый год и плановый период);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ожидаемого исполнения бюджета на текущий финансовый год;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- анализ паспортов муниципальных программ (проектов изменений в указанные паспорта);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потерь бюджета от предоставленных налоговых льгот на очередной финансовый год и плановый период;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- анализ нормативных правовых актов, регулирующих расходные обязательства муниципального района;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проверка и анализ </w:t>
      </w:r>
      <w:proofErr w:type="gramStart"/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обоснованности прогноза основных показателей социально-экономического развития муниципального района</w:t>
      </w:r>
      <w:proofErr w:type="gramEnd"/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период, наличия и состояния нормативно-методической базы для их прогнозирования;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- анализ формирования проекта бюджета на очередной финансовый год и на плановый период, наличия и состояния нормативно-</w:t>
      </w: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методической базы его формирования;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- анализ основных характеристик проекта бюджета и расходов бюджета на очередной финансовый год и плановый период по разделам и подразделам ведомственной структуры классификации расходов бюджета;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- анализ и оценка обоснованности материалов, представленных одновременно с проектом бюджета;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- анализ объема муниципального долга, программы муниципальных заимствований на очередной финансовый год и плановый период;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- верхний предел муниципального долга на 1 января года, следующего за очередным финансовым годом и каждым годом планового периода;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- анализ программы муниципальных гарантий на очередной финансовый год и плановый период;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 иных показателей бюджета, установленных Бюджетным кодексом РФ, законами Воронежской области, Положением о бюджетном </w:t>
      </w: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процессе в Грибановском муниципальном районе, иными нормативными правовыми актами;</w:t>
      </w:r>
    </w:p>
    <w:p w:rsidR="004E25A0" w:rsidRPr="004E25A0" w:rsidRDefault="004E25A0" w:rsidP="004E25A0">
      <w:pPr>
        <w:widowControl w:val="0"/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соответствия формы, содержания и процедуры предоставления в контрольно-счетную комиссию проекта решения о местном бюджете на очередной финансовый год и плановый период требованиям нормативных правовых актов.</w:t>
      </w:r>
    </w:p>
    <w:p w:rsidR="004E25A0" w:rsidRPr="004E25A0" w:rsidRDefault="004E25A0" w:rsidP="004E25A0">
      <w:pPr>
        <w:widowControl w:val="0"/>
        <w:tabs>
          <w:tab w:val="left" w:pos="284"/>
          <w:tab w:val="left" w:pos="12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25A0" w:rsidRPr="004E25A0" w:rsidRDefault="004E25A0" w:rsidP="004E25A0">
      <w:pPr>
        <w:keepNext/>
        <w:tabs>
          <w:tab w:val="left" w:pos="28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6" w:name="_Toc497386710"/>
      <w:bookmarkStart w:id="17" w:name="_Toc507747997"/>
      <w:bookmarkStart w:id="18" w:name="_Toc507748034"/>
      <w:r w:rsidRPr="004E25A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5. Формы и методы, используемые при подготовке заключения  </w:t>
      </w:r>
      <w:hyperlink r:id="rId8" w:history="1">
        <w:r w:rsidRPr="004E25A0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</w:rPr>
          <w:t xml:space="preserve"> Контрольно-счетной</w:t>
        </w:r>
      </w:hyperlink>
      <w:r w:rsidRPr="004E25A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палаты на проект решения о местном бюджете на очередной финансовый год и плановый период</w:t>
      </w:r>
      <w:bookmarkEnd w:id="16"/>
      <w:bookmarkEnd w:id="17"/>
      <w:bookmarkEnd w:id="18"/>
    </w:p>
    <w:p w:rsidR="004E25A0" w:rsidRPr="004E25A0" w:rsidRDefault="004E25A0" w:rsidP="004E25A0">
      <w:pPr>
        <w:keepNext/>
        <w:tabs>
          <w:tab w:val="left" w:pos="284"/>
        </w:tabs>
        <w:spacing w:after="0" w:line="240" w:lineRule="auto"/>
        <w:ind w:right="43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4E25A0" w:rsidRPr="004E25A0" w:rsidRDefault="004E25A0" w:rsidP="004E25A0">
      <w:pPr>
        <w:tabs>
          <w:tab w:val="left" w:pos="284"/>
          <w:tab w:val="left" w:pos="172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>5.1. В ходе подготовки заключения должны применяться аналитические методы сравнения, сопоставления и группировки показателей.</w:t>
      </w:r>
    </w:p>
    <w:p w:rsidR="004E25A0" w:rsidRPr="004E25A0" w:rsidRDefault="004E25A0" w:rsidP="004E25A0">
      <w:pPr>
        <w:tabs>
          <w:tab w:val="left" w:pos="284"/>
          <w:tab w:val="left" w:pos="136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>При подготовке заключения используются:</w:t>
      </w:r>
    </w:p>
    <w:p w:rsidR="004E25A0" w:rsidRPr="004E25A0" w:rsidRDefault="004E25A0" w:rsidP="004E25A0">
      <w:pPr>
        <w:tabs>
          <w:tab w:val="left" w:pos="284"/>
          <w:tab w:val="left" w:pos="124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>- формальная и арифметическая проверка отчетных показателей;</w:t>
      </w:r>
    </w:p>
    <w:p w:rsidR="004E25A0" w:rsidRPr="004E25A0" w:rsidRDefault="004E25A0" w:rsidP="004E25A0">
      <w:pPr>
        <w:tabs>
          <w:tab w:val="left" w:pos="284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5A0">
        <w:rPr>
          <w:rFonts w:ascii="Times New Roman" w:eastAsia="Times New Roman" w:hAnsi="Times New Roman" w:cs="Times New Roman"/>
          <w:sz w:val="28"/>
          <w:szCs w:val="28"/>
        </w:rPr>
        <w:t>- встречная проверка документов и (или) записей;</w:t>
      </w:r>
    </w:p>
    <w:p w:rsidR="004E25A0" w:rsidRPr="004E25A0" w:rsidRDefault="004E25A0" w:rsidP="004E25A0">
      <w:pPr>
        <w:tabs>
          <w:tab w:val="left" w:pos="284"/>
          <w:tab w:val="left" w:pos="11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>- экономическая и финансовая экспертиза совершенных операций со средствами местного бюджета;</w:t>
      </w:r>
    </w:p>
    <w:p w:rsidR="004E25A0" w:rsidRPr="004E25A0" w:rsidRDefault="004E25A0" w:rsidP="004E25A0">
      <w:pPr>
        <w:tabs>
          <w:tab w:val="left" w:pos="284"/>
          <w:tab w:val="left" w:pos="117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 xml:space="preserve">- приемы экономического анализа (горизонтального, вертикального, трендового, факторного и ретроспективного); </w:t>
      </w:r>
    </w:p>
    <w:p w:rsidR="004E25A0" w:rsidRPr="004E25A0" w:rsidRDefault="004E25A0" w:rsidP="004E25A0">
      <w:pPr>
        <w:tabs>
          <w:tab w:val="left" w:pos="284"/>
          <w:tab w:val="left" w:pos="117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>- технико-экономические расчеты.</w:t>
      </w:r>
    </w:p>
    <w:p w:rsidR="004E25A0" w:rsidRPr="004E25A0" w:rsidRDefault="004E25A0" w:rsidP="004E25A0">
      <w:pPr>
        <w:tabs>
          <w:tab w:val="left" w:pos="284"/>
          <w:tab w:val="left" w:pos="137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>5.2. Заключение должно содержать соответствующие выводы и предложения (рекомендации) контрольно-счетной комиссии по сути рассматриваемого материала.</w:t>
      </w:r>
      <w:bookmarkStart w:id="19" w:name="_Toc497386711"/>
      <w:bookmarkStart w:id="20" w:name="_Toc507747998"/>
      <w:bookmarkStart w:id="21" w:name="_Toc507748035"/>
    </w:p>
    <w:p w:rsidR="004E25A0" w:rsidRPr="004E25A0" w:rsidRDefault="004E25A0" w:rsidP="004E25A0">
      <w:pPr>
        <w:tabs>
          <w:tab w:val="left" w:pos="284"/>
          <w:tab w:val="left" w:pos="137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5A0" w:rsidRPr="004E25A0" w:rsidRDefault="004E25A0" w:rsidP="004E25A0">
      <w:pPr>
        <w:tabs>
          <w:tab w:val="left" w:pos="284"/>
          <w:tab w:val="left" w:pos="1371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4E25A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6. Структура заключения контрольно-счетной комиссии на проект решения о местном бюджете на очередной финансовый год и плановый период</w:t>
      </w:r>
      <w:bookmarkEnd w:id="19"/>
      <w:bookmarkEnd w:id="20"/>
      <w:bookmarkEnd w:id="21"/>
    </w:p>
    <w:p w:rsidR="004E25A0" w:rsidRPr="004E25A0" w:rsidRDefault="004E25A0" w:rsidP="004E25A0">
      <w:pPr>
        <w:keepNext/>
        <w:tabs>
          <w:tab w:val="left" w:pos="284"/>
          <w:tab w:val="left" w:pos="1162"/>
        </w:tabs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22" w:name="_Toc497386712"/>
      <w:bookmarkStart w:id="23" w:name="_Toc507747999"/>
      <w:bookmarkStart w:id="24" w:name="_Toc507748036"/>
      <w:r w:rsidRPr="004E25A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Заключение должно содержать следующие разделы:</w:t>
      </w:r>
      <w:bookmarkEnd w:id="22"/>
      <w:bookmarkEnd w:id="23"/>
      <w:bookmarkEnd w:id="24"/>
    </w:p>
    <w:p w:rsidR="004E25A0" w:rsidRPr="004E25A0" w:rsidRDefault="004E25A0" w:rsidP="004E25A0">
      <w:pPr>
        <w:keepNext/>
        <w:tabs>
          <w:tab w:val="left" w:pos="284"/>
          <w:tab w:val="left" w:pos="1162"/>
        </w:tabs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4E25A0" w:rsidRPr="004E25A0" w:rsidRDefault="004E25A0" w:rsidP="004E25A0">
      <w:pPr>
        <w:tabs>
          <w:tab w:val="left" w:pos="284"/>
          <w:tab w:val="left" w:pos="117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>1. Общие положения;</w:t>
      </w:r>
    </w:p>
    <w:p w:rsidR="004E25A0" w:rsidRPr="004E25A0" w:rsidRDefault="004E25A0" w:rsidP="004E25A0">
      <w:pPr>
        <w:tabs>
          <w:tab w:val="left" w:pos="284"/>
          <w:tab w:val="left" w:pos="117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 xml:space="preserve">2. Общая характеристика проекта местного бюджета на очередной финансовый год и плановый период (включая анализ реализации основных направлений бюджетной и налоговой политики муниципального образования); </w:t>
      </w:r>
    </w:p>
    <w:p w:rsidR="004E25A0" w:rsidRPr="004E25A0" w:rsidRDefault="004E25A0" w:rsidP="004E25A0">
      <w:pPr>
        <w:tabs>
          <w:tab w:val="left" w:pos="284"/>
          <w:tab w:val="left" w:pos="1172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>3. Доходная часть проекта бюджета;</w:t>
      </w:r>
    </w:p>
    <w:p w:rsidR="004E25A0" w:rsidRPr="004E25A0" w:rsidRDefault="004E25A0" w:rsidP="004E25A0">
      <w:pPr>
        <w:tabs>
          <w:tab w:val="left" w:pos="284"/>
          <w:tab w:val="left" w:pos="1222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>4. Расходная часть проекта бюджета;</w:t>
      </w:r>
    </w:p>
    <w:p w:rsidR="004E25A0" w:rsidRPr="004E25A0" w:rsidRDefault="004E25A0" w:rsidP="004E25A0">
      <w:pPr>
        <w:tabs>
          <w:tab w:val="left" w:pos="284"/>
          <w:tab w:val="left" w:pos="1222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>5. Результат исполнения проекта бюджета;</w:t>
      </w:r>
    </w:p>
    <w:p w:rsidR="004E25A0" w:rsidRPr="004E25A0" w:rsidRDefault="004E25A0" w:rsidP="004E25A0">
      <w:pPr>
        <w:tabs>
          <w:tab w:val="left" w:pos="284"/>
          <w:tab w:val="left" w:pos="1222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t>6. Исполнение бюджета в рамках муниципальных программ.</w:t>
      </w:r>
    </w:p>
    <w:p w:rsidR="004E25A0" w:rsidRPr="004E25A0" w:rsidRDefault="004E25A0" w:rsidP="004E25A0">
      <w:pPr>
        <w:tabs>
          <w:tab w:val="left" w:pos="284"/>
          <w:tab w:val="left" w:pos="1134"/>
          <w:tab w:val="left" w:pos="127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E25A0">
        <w:rPr>
          <w:rFonts w:ascii="Times New Roman" w:eastAsia="Calibri" w:hAnsi="Times New Roman" w:cs="Times New Roman"/>
          <w:sz w:val="28"/>
          <w:szCs w:val="28"/>
        </w:rPr>
        <w:lastRenderedPageBreak/>
        <w:t>7. Выводы и предложения.</w:t>
      </w:r>
    </w:p>
    <w:p w:rsidR="004E25A0" w:rsidRPr="004E25A0" w:rsidRDefault="004E25A0" w:rsidP="004E25A0">
      <w:pPr>
        <w:widowControl w:val="0"/>
        <w:tabs>
          <w:tab w:val="left" w:pos="284"/>
          <w:tab w:val="left" w:pos="922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В заключени</w:t>
      </w:r>
      <w:proofErr w:type="gramStart"/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контрольно-счетной комиссии отражаются следующие основные вопросы:</w:t>
      </w:r>
    </w:p>
    <w:p w:rsidR="004E25A0" w:rsidRPr="004E25A0" w:rsidRDefault="004E25A0" w:rsidP="004E25A0">
      <w:pPr>
        <w:widowControl w:val="0"/>
        <w:tabs>
          <w:tab w:val="left" w:pos="284"/>
          <w:tab w:val="left" w:pos="922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а также документах и материалах, представляемых одновременно с ним;</w:t>
      </w:r>
    </w:p>
    <w:p w:rsidR="004E25A0" w:rsidRPr="004E25A0" w:rsidRDefault="004E25A0" w:rsidP="004E25A0">
      <w:pPr>
        <w:widowControl w:val="0"/>
        <w:tabs>
          <w:tab w:val="left" w:pos="284"/>
          <w:tab w:val="left" w:pos="927"/>
        </w:tabs>
        <w:spacing w:after="0"/>
        <w:ind w:firstLine="7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оценка эффективности проекта бюджета на очередной финансовый год и плановый период, его соответствия положениям Бюджетного послания Президента Российской Федерации, основным направлениям бюджетной и налоговой политики Грибановского муниципального района, иным программным документам, соответствия условиям социально-экономического развития муниципального района; </w:t>
      </w:r>
    </w:p>
    <w:p w:rsidR="004E25A0" w:rsidRPr="004E25A0" w:rsidRDefault="004E25A0" w:rsidP="004E25A0">
      <w:pPr>
        <w:widowControl w:val="0"/>
        <w:tabs>
          <w:tab w:val="left" w:pos="284"/>
          <w:tab w:val="left" w:pos="927"/>
        </w:tabs>
        <w:spacing w:after="0"/>
        <w:ind w:firstLine="7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отношений;</w:t>
      </w:r>
    </w:p>
    <w:p w:rsidR="00465823" w:rsidRDefault="004E25A0" w:rsidP="004E25A0">
      <w:r w:rsidRPr="004E25A0">
        <w:rPr>
          <w:rFonts w:ascii="Times New Roman" w:eastAsia="Calibri" w:hAnsi="Times New Roman" w:cs="Times New Roman"/>
          <w:sz w:val="28"/>
          <w:szCs w:val="28"/>
          <w:lang w:eastAsia="ru-RU"/>
        </w:rPr>
        <w:t>- выводы и предложения контрольно-счетной комиссии по совершенствованию процесса прогнозирования и планирования основных показателей бюджета на очередной финансовый год и плановый период, результативности бюджетных расходов, соблюдению бюджетного процесса.</w:t>
      </w:r>
    </w:p>
    <w:sectPr w:rsidR="0046582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A0" w:rsidRDefault="004E25A0" w:rsidP="004E25A0">
      <w:pPr>
        <w:spacing w:after="0" w:line="240" w:lineRule="auto"/>
      </w:pPr>
      <w:r>
        <w:separator/>
      </w:r>
    </w:p>
  </w:endnote>
  <w:endnote w:type="continuationSeparator" w:id="0">
    <w:p w:rsidR="004E25A0" w:rsidRDefault="004E25A0" w:rsidP="004E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A0" w:rsidRDefault="004E25A0" w:rsidP="004E25A0">
      <w:pPr>
        <w:spacing w:after="0" w:line="240" w:lineRule="auto"/>
      </w:pPr>
      <w:r>
        <w:separator/>
      </w:r>
    </w:p>
  </w:footnote>
  <w:footnote w:type="continuationSeparator" w:id="0">
    <w:p w:rsidR="004E25A0" w:rsidRDefault="004E25A0" w:rsidP="004E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055251"/>
      <w:docPartObj>
        <w:docPartGallery w:val="Page Numbers (Top of Page)"/>
        <w:docPartUnique/>
      </w:docPartObj>
    </w:sdtPr>
    <w:sdtEndPr/>
    <w:sdtContent>
      <w:p w:rsidR="00372A32" w:rsidRDefault="00372A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956">
          <w:rPr>
            <w:noProof/>
          </w:rPr>
          <w:t>1</w:t>
        </w:r>
        <w:r>
          <w:fldChar w:fldCharType="end"/>
        </w:r>
      </w:p>
    </w:sdtContent>
  </w:sdt>
  <w:p w:rsidR="00372A32" w:rsidRDefault="00372A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82D37"/>
    <w:multiLevelType w:val="multilevel"/>
    <w:tmpl w:val="5994F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90"/>
    <w:rsid w:val="001E7A41"/>
    <w:rsid w:val="00372A32"/>
    <w:rsid w:val="00405F65"/>
    <w:rsid w:val="00465823"/>
    <w:rsid w:val="004E25A0"/>
    <w:rsid w:val="00612165"/>
    <w:rsid w:val="00763790"/>
    <w:rsid w:val="00B10CFA"/>
    <w:rsid w:val="00C6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5A0"/>
  </w:style>
  <w:style w:type="paragraph" w:styleId="a5">
    <w:name w:val="footer"/>
    <w:basedOn w:val="a"/>
    <w:link w:val="a6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5A0"/>
  </w:style>
  <w:style w:type="paragraph" w:styleId="a7">
    <w:name w:val="Balloon Text"/>
    <w:basedOn w:val="a"/>
    <w:link w:val="a8"/>
    <w:uiPriority w:val="99"/>
    <w:semiHidden/>
    <w:unhideWhenUsed/>
    <w:rsid w:val="0037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5A0"/>
  </w:style>
  <w:style w:type="paragraph" w:styleId="a5">
    <w:name w:val="footer"/>
    <w:basedOn w:val="a"/>
    <w:link w:val="a6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5A0"/>
  </w:style>
  <w:style w:type="paragraph" w:styleId="a7">
    <w:name w:val="Balloon Text"/>
    <w:basedOn w:val="a"/>
    <w:link w:val="a8"/>
    <w:uiPriority w:val="99"/>
    <w:semiHidden/>
    <w:unhideWhenUsed/>
    <w:rsid w:val="0037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8579.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2022-01-11T14:30:00Z</cp:lastPrinted>
  <dcterms:created xsi:type="dcterms:W3CDTF">2022-01-12T14:11:00Z</dcterms:created>
  <dcterms:modified xsi:type="dcterms:W3CDTF">2022-01-12T14:11:00Z</dcterms:modified>
</cp:coreProperties>
</file>