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Приказом               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контрольно-счетной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Грибановского     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района</w:t>
      </w:r>
    </w:p>
    <w:p w:rsidR="004E25A0" w:rsidRPr="004E25A0" w:rsidRDefault="004E25A0" w:rsidP="004E2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21000">
        <w:rPr>
          <w:rFonts w:ascii="Times New Roman" w:eastAsia="Times New Roman" w:hAnsi="Times New Roman"/>
          <w:sz w:val="28"/>
          <w:szCs w:val="28"/>
          <w:lang w:eastAsia="ru-RU"/>
        </w:rPr>
        <w:t>от 29.12.2021 г. № 2</w:t>
      </w:r>
      <w:bookmarkStart w:id="0" w:name="_GoBack"/>
      <w:bookmarkEnd w:id="0"/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КОНТРОЛЬНО-СЧЕТНАЯ КОМИССИЯ</w:t>
      </w:r>
    </w:p>
    <w:p w:rsidR="004E25A0" w:rsidRPr="004E25A0" w:rsidRDefault="004E25A0" w:rsidP="004E25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 внешнего муниципального</w:t>
      </w:r>
      <w:r w:rsidR="002732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финансового</w:t>
      </w: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контроля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E25A0" w:rsidRPr="004E25A0" w:rsidRDefault="004E25A0" w:rsidP="006378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301CD7">
        <w:rPr>
          <w:rFonts w:ascii="Times New Roman" w:eastAsia="HiddenHorzOCR" w:hAnsi="Times New Roman" w:cs="Times New Roman"/>
          <w:b/>
          <w:sz w:val="28"/>
          <w:szCs w:val="28"/>
        </w:rPr>
        <w:t>Проведение экспертизы проектов муниципальных программ в контрольно-счетной комиссии Грибановского муниципального района</w:t>
      </w: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9E01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301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637836" w:rsidRDefault="00637836" w:rsidP="00F241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7836">
        <w:rPr>
          <w:rFonts w:ascii="Times New Roman" w:eastAsia="Calibri" w:hAnsi="Times New Roman" w:cs="Times New Roman"/>
          <w:b/>
          <w:sz w:val="24"/>
          <w:szCs w:val="24"/>
        </w:rPr>
        <w:t>Начало действия: ___.___.2022 г.</w:t>
      </w:r>
    </w:p>
    <w:p w:rsidR="00637836" w:rsidRPr="004E25A0" w:rsidRDefault="00637836" w:rsidP="006378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7ED" w:rsidRDefault="004E25A0" w:rsidP="004E25A0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proofErr w:type="spellStart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пгт</w:t>
      </w:r>
      <w:proofErr w:type="spellEnd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. Грибановский 2022 год</w:t>
      </w:r>
    </w:p>
    <w:p w:rsidR="00301CD7" w:rsidRDefault="00301CD7" w:rsidP="004E25A0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9E01CF" w:rsidRPr="009E01CF" w:rsidRDefault="009E01CF" w:rsidP="009E01CF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9E01CF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lastRenderedPageBreak/>
        <w:t>Содержание</w:t>
      </w:r>
    </w:p>
    <w:p w:rsidR="009E01CF" w:rsidRDefault="009E01CF" w:rsidP="009E01C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301CD7" w:rsidRPr="00301CD7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D7">
        <w:rPr>
          <w:rFonts w:ascii="Times New Roman" w:hAnsi="Times New Roman" w:cs="Times New Roman"/>
          <w:sz w:val="28"/>
          <w:szCs w:val="28"/>
        </w:rPr>
        <w:t xml:space="preserve">1.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Общие положения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…………………………………………………………….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hAnsi="Times New Roman" w:cs="Times New Roman"/>
          <w:sz w:val="28"/>
          <w:szCs w:val="28"/>
        </w:rPr>
        <w:t>3</w:t>
      </w:r>
    </w:p>
    <w:p w:rsidR="00301CD7" w:rsidRPr="00301CD7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D7">
        <w:rPr>
          <w:rFonts w:ascii="Times New Roman" w:hAnsi="Times New Roman" w:cs="Times New Roman"/>
          <w:sz w:val="28"/>
          <w:szCs w:val="28"/>
        </w:rPr>
        <w:t xml:space="preserve">2.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Правовые и информационные основы, задачи и объекты экспертизы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….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hAnsi="Times New Roman" w:cs="Times New Roman"/>
          <w:sz w:val="28"/>
          <w:szCs w:val="28"/>
        </w:rPr>
        <w:t>3</w:t>
      </w:r>
    </w:p>
    <w:p w:rsidR="00301CD7" w:rsidRPr="00301CD7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D7">
        <w:rPr>
          <w:rFonts w:ascii="Times New Roman" w:hAnsi="Times New Roman" w:cs="Times New Roman"/>
          <w:sz w:val="28"/>
          <w:szCs w:val="28"/>
        </w:rPr>
        <w:t xml:space="preserve">3.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Организация проведения экспертизы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………………………………………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hAnsi="Times New Roman" w:cs="Times New Roman"/>
          <w:sz w:val="28"/>
          <w:szCs w:val="28"/>
        </w:rPr>
        <w:t>5</w:t>
      </w:r>
    </w:p>
    <w:p w:rsidR="00301CD7" w:rsidRPr="00301CD7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D7">
        <w:rPr>
          <w:rFonts w:ascii="Times New Roman" w:hAnsi="Times New Roman" w:cs="Times New Roman"/>
          <w:sz w:val="28"/>
          <w:szCs w:val="28"/>
        </w:rPr>
        <w:t xml:space="preserve">4.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Проведение экспертизы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……………………………………………………..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hAnsi="Times New Roman" w:cs="Times New Roman"/>
          <w:sz w:val="28"/>
          <w:szCs w:val="28"/>
        </w:rPr>
        <w:t>6</w:t>
      </w:r>
    </w:p>
    <w:p w:rsidR="009E01CF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CD7">
        <w:rPr>
          <w:rFonts w:ascii="Times New Roman" w:hAnsi="Times New Roman" w:cs="Times New Roman"/>
          <w:sz w:val="28"/>
          <w:szCs w:val="28"/>
        </w:rPr>
        <w:t xml:space="preserve">5.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Подготовка заключения по результатам экспертизы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……………………..</w:t>
      </w:r>
      <w:r w:rsidRPr="00301CD7">
        <w:rPr>
          <w:rFonts w:ascii="Times New Roman" w:hAnsi="Times New Roman" w:cs="Times New Roman"/>
          <w:sz w:val="28"/>
          <w:szCs w:val="28"/>
        </w:rPr>
        <w:t>7</w:t>
      </w:r>
    </w:p>
    <w:p w:rsidR="00301CD7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CD7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CD7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CD7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CD7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CD7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1"/>
          <w:szCs w:val="21"/>
        </w:rPr>
      </w:pPr>
    </w:p>
    <w:p w:rsidR="00301CD7" w:rsidRDefault="00301CD7" w:rsidP="0030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01CD7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1.Общие положения</w:t>
      </w:r>
    </w:p>
    <w:p w:rsidR="00301CD7" w:rsidRPr="00301CD7" w:rsidRDefault="00301CD7" w:rsidP="0030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301CD7" w:rsidRPr="00301CD7" w:rsidRDefault="00301CD7" w:rsidP="00301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01CD7">
        <w:rPr>
          <w:rFonts w:ascii="Times New Roman" w:eastAsia="HiddenHorzOCR" w:hAnsi="Times New Roman" w:cs="Times New Roman"/>
          <w:sz w:val="28"/>
          <w:szCs w:val="28"/>
        </w:rPr>
        <w:t>1.1. Стандарт внешнего муниципального финансового контроля</w:t>
      </w:r>
    </w:p>
    <w:p w:rsidR="00301CD7" w:rsidRPr="00301CD7" w:rsidRDefault="00301CD7" w:rsidP="0030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 «Проведение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экспертизы проектов муниципальных программ» (далее - Стандарт) разработан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в соответствии положениями Бюджетного кодекса РФ, Федерального закона от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07.02.2011 № 6-ФЗ «Об общих принципах организации и деятельности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контрольно-счетных органов субъектов РФ и муниципальных образований»,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Общими требованиями к стандартам внешнего государственного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муниципального контроля для проведения контрольных и экспертно-аналитических мероприятий контрольно-счетными органами субъектов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Российской Федерации и муниципальных образований</w:t>
      </w:r>
      <w:proofErr w:type="gramEnd"/>
      <w:r w:rsidRPr="00301CD7">
        <w:rPr>
          <w:rFonts w:ascii="Times New Roman" w:eastAsia="HiddenHorzOCR" w:hAnsi="Times New Roman" w:cs="Times New Roman"/>
          <w:sz w:val="28"/>
          <w:szCs w:val="28"/>
        </w:rPr>
        <w:t>, утвержденными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Коллегией Счетной палаты РФ</w:t>
      </w:r>
      <w:proofErr w:type="gramStart"/>
      <w:r w:rsidRPr="00E51CF0">
        <w:rPr>
          <w:rFonts w:ascii="Times New Roman" w:eastAsia="HiddenHorzOCR" w:hAnsi="Times New Roman" w:cs="Times New Roman"/>
          <w:sz w:val="28"/>
          <w:szCs w:val="28"/>
          <w:vertAlign w:val="superscript"/>
        </w:rPr>
        <w:t>1</w:t>
      </w:r>
      <w:proofErr w:type="gramEnd"/>
      <w:r w:rsidRPr="00301CD7">
        <w:rPr>
          <w:rFonts w:ascii="Times New Roman" w:eastAsia="HiddenHorzOCR" w:hAnsi="Times New Roman" w:cs="Times New Roman"/>
          <w:sz w:val="28"/>
          <w:szCs w:val="28"/>
        </w:rPr>
        <w:t>, типовым стандартом внешнего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муниципального финансового контроля «Финансово-экономическая экспертиза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проекта муниципальной программы», утвержденным решением Президиума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Союза МКСО</w:t>
      </w:r>
      <w:r w:rsidR="00E51CF0" w:rsidRPr="00E51CF0">
        <w:rPr>
          <w:rFonts w:ascii="Times New Roman" w:eastAsia="HiddenHorzOCR" w:hAnsi="Times New Roman" w:cs="Times New Roman"/>
          <w:sz w:val="28"/>
          <w:szCs w:val="28"/>
          <w:vertAlign w:val="superscript"/>
        </w:rPr>
        <w:t>2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, а также в соответствии с положениями Регламента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301CD7" w:rsidRPr="00301CD7" w:rsidRDefault="00301CD7" w:rsidP="00301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01CD7">
        <w:rPr>
          <w:rFonts w:ascii="Times New Roman" w:eastAsia="HiddenHorzOCR" w:hAnsi="Times New Roman" w:cs="Times New Roman"/>
          <w:sz w:val="28"/>
          <w:szCs w:val="28"/>
        </w:rPr>
        <w:t>1.2. Цель Стандарта - установление единых принципов, требований,</w:t>
      </w:r>
    </w:p>
    <w:p w:rsidR="00301CD7" w:rsidRPr="00301CD7" w:rsidRDefault="00301CD7" w:rsidP="0030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правил и процедур проведения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комиссией Грибановского муниципального района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 (далее - КСП) экспертизы проектов муниципальных программ,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а также проектов изменений в действующие муниципальные программы (далее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- проектов программ) </w:t>
      </w:r>
      <w:r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301CD7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301CD7" w:rsidRPr="00301CD7" w:rsidRDefault="00301CD7" w:rsidP="00301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01CD7">
        <w:rPr>
          <w:rFonts w:ascii="Times New Roman" w:eastAsia="HiddenHorzOCR" w:hAnsi="Times New Roman" w:cs="Times New Roman"/>
          <w:sz w:val="28"/>
          <w:szCs w:val="28"/>
        </w:rPr>
        <w:t>1.3. Стандарт предназначен для использования должностными лицами</w:t>
      </w:r>
    </w:p>
    <w:p w:rsidR="00301CD7" w:rsidRPr="00301CD7" w:rsidRDefault="00301CD7" w:rsidP="0030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01CD7">
        <w:rPr>
          <w:rFonts w:ascii="Times New Roman" w:eastAsia="HiddenHorzOCR" w:hAnsi="Times New Roman" w:cs="Times New Roman"/>
          <w:sz w:val="28"/>
          <w:szCs w:val="28"/>
        </w:rPr>
        <w:t>КСП, обладающими полномочиями по организации и непосредственному</w:t>
      </w:r>
    </w:p>
    <w:p w:rsidR="00301CD7" w:rsidRPr="00301CD7" w:rsidRDefault="00301CD7" w:rsidP="0030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01CD7">
        <w:rPr>
          <w:rFonts w:ascii="Times New Roman" w:eastAsia="HiddenHorzOCR" w:hAnsi="Times New Roman" w:cs="Times New Roman"/>
          <w:sz w:val="28"/>
          <w:szCs w:val="28"/>
        </w:rPr>
        <w:t>проведению экспертно-аналитических мероприятий, а также иными лицами,</w:t>
      </w:r>
    </w:p>
    <w:p w:rsidR="00301CD7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301CD7">
        <w:rPr>
          <w:rFonts w:ascii="Times New Roman" w:eastAsia="HiddenHorzOCR" w:hAnsi="Times New Roman" w:cs="Times New Roman"/>
          <w:sz w:val="28"/>
          <w:szCs w:val="28"/>
        </w:rPr>
        <w:t>привлекаемыми</w:t>
      </w:r>
      <w:proofErr w:type="gramEnd"/>
      <w:r w:rsidRPr="00301CD7">
        <w:rPr>
          <w:rFonts w:ascii="Times New Roman" w:eastAsia="HiddenHorzOCR" w:hAnsi="Times New Roman" w:cs="Times New Roman"/>
          <w:sz w:val="28"/>
          <w:szCs w:val="28"/>
        </w:rPr>
        <w:t xml:space="preserve"> к проведению экспертно-аналитических мероприятий.</w:t>
      </w:r>
    </w:p>
    <w:p w:rsidR="00301CD7" w:rsidRDefault="00301CD7" w:rsidP="00301CD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301CD7" w:rsidRDefault="00301CD7" w:rsidP="00234F83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b/>
          <w:sz w:val="28"/>
          <w:szCs w:val="28"/>
        </w:rPr>
        <w:t>2.Правовые и информационные основы,</w:t>
      </w:r>
      <w:r w:rsidR="00234F83" w:rsidRPr="00234F83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b/>
          <w:sz w:val="28"/>
          <w:szCs w:val="28"/>
        </w:rPr>
        <w:t>задачи экспертизы</w:t>
      </w:r>
    </w:p>
    <w:p w:rsidR="00234F83" w:rsidRPr="00234F83" w:rsidRDefault="00234F83" w:rsidP="00234F83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2.1. Экспертиза проекта программы (далее - экспертиза) - экспертно-</w:t>
      </w:r>
    </w:p>
    <w:p w:rsid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аналитическое мероприятие, проводимое в рамках предварительного </w:t>
      </w:r>
      <w:r w:rsidR="00234F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контроля</w:t>
      </w:r>
      <w:r w:rsidR="00234F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правовых актов, которое включает оценку соответствия мероприятий</w:t>
      </w:r>
      <w:r w:rsidR="00234F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программы приоритетам социально-экономического развития, определенным</w:t>
      </w:r>
      <w:r w:rsidR="00234F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стратегией социально-экономического развития </w:t>
      </w:r>
      <w:r w:rsidR="00234F83"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, с учетом положений Бюджетного кодекса РФ, нормативно-правовых</w:t>
      </w:r>
      <w:r w:rsidR="00234F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актов, регулирующим отношения в финансово-бюджетной сфере, а также в</w:t>
      </w:r>
      <w:r w:rsidR="00234F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сфере управления и распоряжения муниципальной собственностью.</w:t>
      </w:r>
    </w:p>
    <w:p w:rsidR="00E51CF0" w:rsidRDefault="00E51CF0" w:rsidP="00234F83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_____________________________________</w:t>
      </w:r>
    </w:p>
    <w:p w:rsidR="00E51CF0" w:rsidRPr="00E51CF0" w:rsidRDefault="00E51CF0" w:rsidP="00E51CF0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</w:rPr>
      </w:pPr>
      <w:r w:rsidRPr="00E51CF0">
        <w:rPr>
          <w:rFonts w:ascii="Times New Roman" w:eastAsia="HiddenHorzOCR" w:hAnsi="Times New Roman" w:cs="Times New Roman"/>
          <w:vertAlign w:val="superscript"/>
        </w:rPr>
        <w:t>1</w:t>
      </w:r>
      <w:r w:rsidRPr="00E51CF0">
        <w:rPr>
          <w:rFonts w:ascii="Times New Roman" w:eastAsia="HiddenHorzOCR" w:hAnsi="Times New Roman" w:cs="Times New Roman"/>
        </w:rPr>
        <w:t>Протокол от 17.10.2014№47К(993)</w:t>
      </w:r>
    </w:p>
    <w:p w:rsidR="00E51CF0" w:rsidRDefault="00E51CF0" w:rsidP="00E51CF0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  <w:r w:rsidRPr="00E51CF0">
        <w:rPr>
          <w:rFonts w:ascii="Times New Roman" w:eastAsia="HiddenHorzOCR" w:hAnsi="Times New Roman" w:cs="Times New Roman"/>
          <w:vertAlign w:val="superscript"/>
        </w:rPr>
        <w:t>2</w:t>
      </w:r>
      <w:r w:rsidRPr="00E51CF0">
        <w:rPr>
          <w:rFonts w:ascii="Times New Roman" w:eastAsia="HiddenHorzOCR" w:hAnsi="Times New Roman" w:cs="Times New Roman"/>
        </w:rPr>
        <w:t>Протокол заседания Президиума Союза МКСО от 30.11.2018 № 6 (63)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34F83">
        <w:rPr>
          <w:rFonts w:ascii="Times New Roman" w:eastAsia="HiddenHorzOCR" w:hAnsi="Times New Roman" w:cs="Times New Roman"/>
          <w:sz w:val="28"/>
          <w:szCs w:val="28"/>
        </w:rPr>
        <w:t>При</w:t>
      </w:r>
      <w:r w:rsidR="00234F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экспертизе проектов учитываются цели, задачи и целевые показатели,</w:t>
      </w:r>
      <w:r w:rsidR="00234F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предусмотренные Указом Президента Российской Федерации от 07.05.2018 №</w:t>
      </w:r>
      <w:r w:rsidR="00234F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204, а также национальными проектами, утвержденными президиумом Совета</w:t>
      </w:r>
      <w:r w:rsidR="00234F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при Президенте Российской Федерации по стратегическому развитию и</w:t>
      </w:r>
      <w:r w:rsidR="00E51CF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национальным проектам, федеральными программами, региональными</w:t>
      </w:r>
      <w:r w:rsidR="00E51CF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проектами Воронежской области, реализуемыми в соответствующих сферах.</w:t>
      </w:r>
      <w:proofErr w:type="gramEnd"/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2.2. Экспертиза проектов программ проводится на основании ст. 157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Бюджетного кодекса РФ, ст. 9 Федерального закона от 07.02.2011 № 6-ФЗ «Об</w:t>
      </w:r>
      <w:r w:rsidR="00E51CF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общих принципах организации и деятельности контрольно-счетных органов</w:t>
      </w:r>
      <w:r w:rsidR="00E51CF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субъектов Российской Федерации и муниципальных образований», 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Положения о </w:t>
      </w:r>
      <w:r w:rsidR="005C52E1">
        <w:rPr>
          <w:rFonts w:ascii="Times New Roman" w:eastAsia="HiddenHorzOCR" w:hAnsi="Times New Roman" w:cs="Times New Roman"/>
          <w:sz w:val="28"/>
          <w:szCs w:val="28"/>
        </w:rPr>
        <w:t>к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 w:rsidR="005C52E1">
        <w:rPr>
          <w:rFonts w:ascii="Times New Roman" w:eastAsia="HiddenHorzOCR" w:hAnsi="Times New Roman" w:cs="Times New Roman"/>
          <w:sz w:val="28"/>
          <w:szCs w:val="28"/>
        </w:rPr>
        <w:t>комиссии Грибановского муниципального района</w:t>
      </w:r>
      <w:r w:rsidRPr="005C52E1">
        <w:rPr>
          <w:rFonts w:ascii="Times New Roman" w:eastAsia="HiddenHorzOCR" w:hAnsi="Times New Roman" w:cs="Times New Roman"/>
          <w:sz w:val="28"/>
          <w:szCs w:val="28"/>
          <w:vertAlign w:val="superscript"/>
        </w:rPr>
        <w:t>3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,</w:t>
      </w:r>
      <w:r w:rsidR="005C52E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Положения о бюджетном процессе в </w:t>
      </w:r>
      <w:r w:rsidR="005C52E1">
        <w:rPr>
          <w:rFonts w:ascii="Times New Roman" w:eastAsia="HiddenHorzOCR" w:hAnsi="Times New Roman" w:cs="Times New Roman"/>
          <w:sz w:val="28"/>
          <w:szCs w:val="28"/>
        </w:rPr>
        <w:t>Грибановском муниципальном районе</w:t>
      </w:r>
      <w:proofErr w:type="gramStart"/>
      <w:r w:rsidRPr="005C52E1">
        <w:rPr>
          <w:rFonts w:ascii="Times New Roman" w:eastAsia="HiddenHorzOCR" w:hAnsi="Times New Roman" w:cs="Times New Roman"/>
          <w:sz w:val="28"/>
          <w:szCs w:val="28"/>
          <w:vertAlign w:val="superscript"/>
        </w:rPr>
        <w:t>4</w:t>
      </w:r>
      <w:proofErr w:type="gramEnd"/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 и</w:t>
      </w:r>
      <w:r w:rsidR="005C52E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постановления администрации </w:t>
      </w:r>
      <w:r w:rsidR="005A44EB">
        <w:rPr>
          <w:rFonts w:ascii="Times New Roman" w:eastAsia="HiddenHorzOCR" w:hAnsi="Times New Roman" w:cs="Times New Roman"/>
          <w:sz w:val="28"/>
          <w:szCs w:val="28"/>
        </w:rPr>
        <w:t xml:space="preserve">Грибановского муниципального </w:t>
      </w:r>
      <w:r w:rsidR="005A44EB" w:rsidRPr="006420C0">
        <w:rPr>
          <w:rFonts w:ascii="Times New Roman" w:eastAsia="HiddenHorzOCR" w:hAnsi="Times New Roman" w:cs="Times New Roman"/>
          <w:sz w:val="28"/>
          <w:szCs w:val="28"/>
        </w:rPr>
        <w:t>района</w:t>
      </w:r>
      <w:r w:rsidRPr="006420C0">
        <w:rPr>
          <w:rFonts w:ascii="Times New Roman" w:eastAsia="HiddenHorzOCR" w:hAnsi="Times New Roman" w:cs="Times New Roman"/>
          <w:sz w:val="28"/>
          <w:szCs w:val="28"/>
        </w:rPr>
        <w:t xml:space="preserve"> от </w:t>
      </w:r>
      <w:r w:rsidR="006420C0">
        <w:rPr>
          <w:rFonts w:ascii="Times New Roman" w:eastAsia="HiddenHorzOCR" w:hAnsi="Times New Roman" w:cs="Times New Roman"/>
          <w:sz w:val="28"/>
          <w:szCs w:val="28"/>
        </w:rPr>
        <w:t>30</w:t>
      </w:r>
      <w:r w:rsidRPr="006420C0">
        <w:rPr>
          <w:rFonts w:ascii="Times New Roman" w:eastAsia="HiddenHorzOCR" w:hAnsi="Times New Roman" w:cs="Times New Roman"/>
          <w:sz w:val="28"/>
          <w:szCs w:val="28"/>
        </w:rPr>
        <w:t xml:space="preserve">.10.2013 № </w:t>
      </w:r>
      <w:r w:rsidR="006420C0">
        <w:rPr>
          <w:rFonts w:ascii="Times New Roman" w:eastAsia="HiddenHorzOCR" w:hAnsi="Times New Roman" w:cs="Times New Roman"/>
          <w:sz w:val="28"/>
          <w:szCs w:val="28"/>
        </w:rPr>
        <w:t>824</w:t>
      </w:r>
      <w:r w:rsidRPr="006420C0">
        <w:rPr>
          <w:rFonts w:ascii="Times New Roman" w:eastAsia="HiddenHorzOCR" w:hAnsi="Times New Roman" w:cs="Times New Roman"/>
          <w:sz w:val="28"/>
          <w:szCs w:val="28"/>
        </w:rPr>
        <w:t xml:space="preserve"> «</w:t>
      </w:r>
      <w:r w:rsidR="006420C0" w:rsidRPr="006420C0">
        <w:rPr>
          <w:rFonts w:ascii="Times New Roman" w:hAnsi="Times New Roman" w:cs="Times New Roman"/>
          <w:sz w:val="28"/>
          <w:szCs w:val="28"/>
        </w:rPr>
        <w:t xml:space="preserve">Порядок принятия решений </w:t>
      </w:r>
      <w:r w:rsidR="006420C0" w:rsidRPr="006420C0">
        <w:rPr>
          <w:rFonts w:ascii="Times New Roman" w:eastAsia="Calibri" w:hAnsi="Times New Roman" w:cs="Times New Roman"/>
          <w:sz w:val="28"/>
          <w:szCs w:val="28"/>
        </w:rPr>
        <w:t>о  разработке,  реализации и оценке эффективности муниципальных программ</w:t>
      </w:r>
      <w:r w:rsidR="006420C0" w:rsidRPr="006420C0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 w:rsidRPr="006420C0">
        <w:rPr>
          <w:rFonts w:ascii="Times New Roman" w:eastAsia="HiddenHorzOCR" w:hAnsi="Times New Roman" w:cs="Times New Roman"/>
          <w:sz w:val="28"/>
          <w:szCs w:val="28"/>
        </w:rPr>
        <w:t>».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2.3. Основными задачами экспертизы проекта программы являются -</w:t>
      </w:r>
    </w:p>
    <w:p w:rsidR="00301CD7" w:rsidRPr="00234F83" w:rsidRDefault="005A44EB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♦♦♦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01CD7" w:rsidRPr="00234F83">
        <w:rPr>
          <w:rFonts w:ascii="Times New Roman" w:eastAsia="HiddenHorzOCR" w:hAnsi="Times New Roman" w:cs="Times New Roman"/>
          <w:sz w:val="28"/>
          <w:szCs w:val="28"/>
        </w:rPr>
        <w:t>оценка: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 обоснованности отнесения мероприятий программы к вопросам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местного значения;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 соответствия положений муниципальной программы требованиям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нормативных правовых актов;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 согласованности целей, задач муниципальной программы и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мероприятий по их выполнению;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 соответствия целей, задач и сроков реализации муниципальной</w:t>
      </w:r>
      <w:r w:rsidR="005A44E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программы документам стратегического планирования;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 обоснованности ресурсного обеспечения муниципальной программы,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в том числе за счет средств иных бюджетов бюджетной системы Российской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Федерации и средств из внебюджетных источников;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 корректности и обоснованности определения ожидаемых результатов,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целевых показателей (индикаторов) программы и их значений.</w:t>
      </w:r>
    </w:p>
    <w:p w:rsidR="00301CD7" w:rsidRDefault="00301CD7" w:rsidP="006436FC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♦♦♦ подготовка предложений по совершенствованию (улучшению)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содержания проекта программы, в том числе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деятельности органов местного самоуправления в сфере реализации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программы, а также устранению выявленных недостатков.</w:t>
      </w:r>
    </w:p>
    <w:p w:rsidR="006436FC" w:rsidRDefault="006436FC" w:rsidP="006436FC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2.4. Экспертное заключение подготавливается на основании:</w:t>
      </w:r>
    </w:p>
    <w:p w:rsidR="006436FC" w:rsidRDefault="006436FC" w:rsidP="00234F83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436FC" w:rsidRPr="006436FC" w:rsidRDefault="006436FC" w:rsidP="006436F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</w:rPr>
      </w:pPr>
      <w:r w:rsidRPr="006436FC">
        <w:rPr>
          <w:rFonts w:ascii="Times New Roman" w:eastAsia="HiddenHorzOCR" w:hAnsi="Times New Roman" w:cs="Times New Roman"/>
          <w:vertAlign w:val="superscript"/>
        </w:rPr>
        <w:t>3</w:t>
      </w:r>
      <w:r w:rsidRPr="006436FC">
        <w:rPr>
          <w:rFonts w:ascii="Times New Roman" w:eastAsia="HiddenHorzOCR" w:hAnsi="Times New Roman" w:cs="Times New Roman"/>
        </w:rPr>
        <w:t xml:space="preserve">Решение </w:t>
      </w:r>
      <w:r>
        <w:rPr>
          <w:rFonts w:ascii="Times New Roman" w:eastAsia="HiddenHorzOCR" w:hAnsi="Times New Roman" w:cs="Times New Roman"/>
        </w:rPr>
        <w:t>СНД Грибановского муниципального района</w:t>
      </w:r>
      <w:r w:rsidRPr="006436FC">
        <w:rPr>
          <w:rFonts w:ascii="Times New Roman" w:eastAsia="HiddenHorzOCR" w:hAnsi="Times New Roman" w:cs="Times New Roman"/>
        </w:rPr>
        <w:t xml:space="preserve"> от </w:t>
      </w:r>
      <w:r w:rsidRPr="006436FC">
        <w:rPr>
          <w:rFonts w:ascii="Times New Roman" w:eastAsia="Calibri" w:hAnsi="Times New Roman" w:cs="Times New Roman"/>
        </w:rPr>
        <w:t>09.09.2021 № 230</w:t>
      </w:r>
    </w:p>
    <w:p w:rsidR="006436FC" w:rsidRPr="00234F83" w:rsidRDefault="006436FC" w:rsidP="006436FC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vertAlign w:val="superscript"/>
        </w:rPr>
        <w:lastRenderedPageBreak/>
        <w:t>4</w:t>
      </w:r>
      <w:r w:rsidRPr="006436FC">
        <w:rPr>
          <w:rFonts w:ascii="Times New Roman" w:eastAsia="HiddenHorzOCR" w:hAnsi="Times New Roman" w:cs="Times New Roman"/>
        </w:rPr>
        <w:t xml:space="preserve">Решение </w:t>
      </w:r>
      <w:r>
        <w:rPr>
          <w:rFonts w:ascii="Times New Roman" w:eastAsia="HiddenHorzOCR" w:hAnsi="Times New Roman" w:cs="Times New Roman"/>
        </w:rPr>
        <w:t>СНД Грибановского муниципального района</w:t>
      </w:r>
      <w:r w:rsidRPr="006436FC">
        <w:rPr>
          <w:rFonts w:ascii="Times New Roman" w:eastAsia="HiddenHorzOCR" w:hAnsi="Times New Roman" w:cs="Times New Roman"/>
        </w:rPr>
        <w:t xml:space="preserve"> от </w:t>
      </w:r>
      <w:r w:rsidRPr="006436FC">
        <w:rPr>
          <w:rFonts w:ascii="Times New Roman" w:eastAsia="Calibri" w:hAnsi="Times New Roman" w:cs="Times New Roman"/>
        </w:rPr>
        <w:t>25.12.2013 № 154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34F83">
        <w:rPr>
          <w:rFonts w:ascii="Times New Roman" w:eastAsia="HiddenHorzOCR" w:hAnsi="Times New Roman" w:cs="Times New Roman"/>
          <w:sz w:val="28"/>
          <w:szCs w:val="28"/>
        </w:rPr>
        <w:t>- проекта муниципальной программы (изменений в муниципальную</w:t>
      </w:r>
      <w:proofErr w:type="gramEnd"/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программу) с приложением финансово-экономических обоснований;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документов стратегического планирования Воронежской области и</w:t>
      </w:r>
    </w:p>
    <w:p w:rsidR="00301CD7" w:rsidRPr="00234F83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="00301CD7" w:rsidRPr="00234F83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Закона Воронежской области о бюджете на текущий год и плановый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период (при привлечении средств </w:t>
      </w:r>
      <w:proofErr w:type="spellStart"/>
      <w:r w:rsidRPr="00234F83">
        <w:rPr>
          <w:rFonts w:ascii="Times New Roman" w:eastAsia="HiddenHorzOCR" w:hAnsi="Times New Roman" w:cs="Times New Roman"/>
          <w:sz w:val="28"/>
          <w:szCs w:val="28"/>
        </w:rPr>
        <w:t>софинансирования</w:t>
      </w:r>
      <w:proofErr w:type="spellEnd"/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 мероприятий из</w:t>
      </w:r>
      <w:proofErr w:type="gramEnd"/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вышестоящих бюджетов);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Решения 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>Совета народных депутатов Грибановского муниципального района Воронежской области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 о бюджете 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муниципального района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на текущий год и плановый период;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нормативных правовых актов и иных распорядительных документов,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регламентирующих формирование, утверждение и исполнение муниципальных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программ;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отчетов о реализации муниципальных программ;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материалов ранее проведенных КСП контрольных и экспертно-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34F83">
        <w:rPr>
          <w:rFonts w:ascii="Times New Roman" w:eastAsia="HiddenHorzOCR" w:hAnsi="Times New Roman" w:cs="Times New Roman"/>
          <w:sz w:val="28"/>
          <w:szCs w:val="28"/>
        </w:rPr>
        <w:t>аналитических мероприятий (в том числе экспертиз проектов программ и</w:t>
      </w:r>
      <w:proofErr w:type="gramEnd"/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проектов изменений в программы);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-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иной информации и документов, касающихся формирования,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утверждения и реализации муниципальных программ.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2.5. При проведении экспертизы сотрудники КСП могут осуществлять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>оперативное взаимодействие с ответственными исполнителями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(соисполнителями) муниципальной программы, а также с участниками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подпрограммы (основного мероприятия), </w:t>
      </w:r>
      <w:proofErr w:type="gramStart"/>
      <w:r w:rsidRPr="00234F83">
        <w:rPr>
          <w:rFonts w:ascii="Times New Roman" w:eastAsia="HiddenHorzOCR" w:hAnsi="Times New Roman" w:cs="Times New Roman"/>
          <w:sz w:val="28"/>
          <w:szCs w:val="28"/>
        </w:rPr>
        <w:t>привлекаемыми</w:t>
      </w:r>
      <w:proofErr w:type="gramEnd"/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 к реализации</w:t>
      </w:r>
    </w:p>
    <w:p w:rsidR="00301CD7" w:rsidRPr="00234F83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муниципальной программы. Для получения дополнительной информации </w:t>
      </w:r>
      <w:proofErr w:type="gramStart"/>
      <w:r w:rsidRPr="00234F83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301CD7" w:rsidRDefault="00301CD7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 xml:space="preserve"> и иные</w:t>
      </w:r>
      <w:r w:rsidR="006436F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34F83">
        <w:rPr>
          <w:rFonts w:ascii="Times New Roman" w:eastAsia="HiddenHorzOCR" w:hAnsi="Times New Roman" w:cs="Times New Roman"/>
          <w:sz w:val="28"/>
          <w:szCs w:val="28"/>
        </w:rPr>
        <w:t>организации могут направляться запросы.</w:t>
      </w:r>
    </w:p>
    <w:p w:rsid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6436FC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Pr="006436FC">
        <w:rPr>
          <w:rFonts w:ascii="Times New Roman" w:eastAsia="HiddenHorzOCR" w:hAnsi="Times New Roman" w:cs="Times New Roman"/>
          <w:b/>
          <w:sz w:val="28"/>
          <w:szCs w:val="28"/>
        </w:rPr>
        <w:t>Организация проведения экспертизы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436FC" w:rsidRPr="006436FC" w:rsidRDefault="006436FC" w:rsidP="0064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hAnsi="Times New Roman" w:cs="Times New Roman"/>
          <w:sz w:val="28"/>
          <w:szCs w:val="28"/>
        </w:rPr>
        <w:t xml:space="preserve">3.1.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Экспертиза проектов муниципальных программ, а также проектов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sz w:val="28"/>
          <w:szCs w:val="28"/>
        </w:rPr>
        <w:t>изменений в муниципальные программы является экспертно-аналитическим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sz w:val="28"/>
          <w:szCs w:val="28"/>
        </w:rPr>
        <w:t>мероприятием и проводится на основании плана работы КСП без оформления</w:t>
      </w:r>
      <w:r w:rsidR="0082215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распорядительных документов и программы мероприятия.</w:t>
      </w:r>
    </w:p>
    <w:p w:rsidR="006436FC" w:rsidRPr="006436FC" w:rsidRDefault="006436FC" w:rsidP="00822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hAnsi="Times New Roman" w:cs="Times New Roman"/>
          <w:sz w:val="28"/>
          <w:szCs w:val="28"/>
        </w:rPr>
        <w:t xml:space="preserve">3.2.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Вопросы проведения экспертизы регламентируются настоящим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sz w:val="28"/>
          <w:szCs w:val="28"/>
        </w:rPr>
        <w:t>Стандартом.</w:t>
      </w:r>
    </w:p>
    <w:p w:rsidR="006436FC" w:rsidRPr="006436FC" w:rsidRDefault="006436FC" w:rsidP="00822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hAnsi="Times New Roman" w:cs="Times New Roman"/>
          <w:sz w:val="28"/>
          <w:szCs w:val="28"/>
        </w:rPr>
        <w:t xml:space="preserve">3.3.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Экспертиза проводится в течение 10-ти календарных дней со дня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sz w:val="28"/>
          <w:szCs w:val="28"/>
        </w:rPr>
        <w:t>поступления проекта муниципальной программы в КСП. Сроки проведения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sz w:val="28"/>
          <w:szCs w:val="28"/>
        </w:rPr>
        <w:t>экспертизы могут быть сокращены по решению председателя КСП путем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sz w:val="28"/>
          <w:szCs w:val="28"/>
        </w:rPr>
        <w:lastRenderedPageBreak/>
        <w:t>проставления соответствующей резолюции в листе поручений.</w:t>
      </w:r>
    </w:p>
    <w:p w:rsidR="006436FC" w:rsidRPr="006436FC" w:rsidRDefault="006436FC" w:rsidP="00822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hAnsi="Times New Roman" w:cs="Times New Roman"/>
          <w:sz w:val="28"/>
          <w:szCs w:val="28"/>
        </w:rPr>
        <w:t xml:space="preserve">3.4.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Должностное лицо, ответственное за проведение экспертизы</w:t>
      </w:r>
      <w:r w:rsidR="0082215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назначается председателем КСП и указывается</w:t>
      </w:r>
      <w:r w:rsidR="0082215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 xml:space="preserve">в листе поручений. </w:t>
      </w:r>
    </w:p>
    <w:p w:rsidR="006436FC" w:rsidRPr="006436FC" w:rsidRDefault="006436FC" w:rsidP="00822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hAnsi="Times New Roman" w:cs="Times New Roman"/>
          <w:sz w:val="28"/>
          <w:szCs w:val="28"/>
        </w:rPr>
        <w:t xml:space="preserve">3.5.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По решению председателя К</w:t>
      </w:r>
      <w:proofErr w:type="gramStart"/>
      <w:r w:rsidRPr="006436FC">
        <w:rPr>
          <w:rFonts w:ascii="Times New Roman" w:eastAsia="HiddenHorzOCR" w:hAnsi="Times New Roman" w:cs="Times New Roman"/>
          <w:sz w:val="28"/>
          <w:szCs w:val="28"/>
        </w:rPr>
        <w:t>СП к пр</w:t>
      </w:r>
      <w:proofErr w:type="gramEnd"/>
      <w:r w:rsidRPr="006436FC">
        <w:rPr>
          <w:rFonts w:ascii="Times New Roman" w:eastAsia="HiddenHorzOCR" w:hAnsi="Times New Roman" w:cs="Times New Roman"/>
          <w:sz w:val="28"/>
          <w:szCs w:val="28"/>
        </w:rPr>
        <w:t>оведению экспертизы могут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sz w:val="28"/>
          <w:szCs w:val="28"/>
        </w:rPr>
        <w:t>привлекаться специалисты других организаций.</w:t>
      </w:r>
    </w:p>
    <w:p w:rsidR="006436FC" w:rsidRPr="006436FC" w:rsidRDefault="006436FC" w:rsidP="00822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hAnsi="Times New Roman" w:cs="Times New Roman"/>
          <w:sz w:val="28"/>
          <w:szCs w:val="28"/>
        </w:rPr>
        <w:t xml:space="preserve">3.6.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Для проведения экспертизы ответственное должностное лицо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sz w:val="28"/>
          <w:szCs w:val="28"/>
        </w:rPr>
        <w:t>организует следующие мероприятия:</w:t>
      </w:r>
    </w:p>
    <w:p w:rsidR="006436FC" w:rsidRPr="006436FC" w:rsidRDefault="006436FC" w:rsidP="00822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hAnsi="Times New Roman" w:cs="Times New Roman"/>
          <w:sz w:val="28"/>
          <w:szCs w:val="28"/>
        </w:rPr>
        <w:t xml:space="preserve">-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проверку документов, представленных для проведения экспертизы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sz w:val="28"/>
          <w:szCs w:val="28"/>
        </w:rPr>
        <w:t xml:space="preserve">(проект постановления администрации </w:t>
      </w:r>
      <w:r w:rsidR="00822151"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 xml:space="preserve"> об утверждении или</w:t>
      </w:r>
      <w:r w:rsidR="0082215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внесении изменений в муниципальную программу, проект программы,</w:t>
      </w:r>
      <w:r w:rsidR="0082215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приложения, пояснительная записка, финансово-экономические обоснования,</w:t>
      </w:r>
      <w:r w:rsidR="0082215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документы о согласовании проекта с соисполнителями программы, заключения</w:t>
      </w:r>
      <w:r w:rsidR="0082215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6A18D3">
        <w:rPr>
          <w:rFonts w:ascii="Times New Roman" w:hAnsi="Times New Roman" w:cs="Times New Roman"/>
          <w:sz w:val="28"/>
          <w:szCs w:val="28"/>
        </w:rPr>
        <w:t>о</w:t>
      </w:r>
      <w:r w:rsidR="006A18D3" w:rsidRPr="006A18D3">
        <w:rPr>
          <w:rFonts w:ascii="Times New Roman" w:hAnsi="Times New Roman" w:cs="Times New Roman"/>
          <w:sz w:val="28"/>
          <w:szCs w:val="28"/>
        </w:rPr>
        <w:t>тдел</w:t>
      </w:r>
      <w:r w:rsidR="006A18D3">
        <w:rPr>
          <w:rFonts w:ascii="Times New Roman" w:hAnsi="Times New Roman" w:cs="Times New Roman"/>
          <w:sz w:val="28"/>
          <w:szCs w:val="28"/>
        </w:rPr>
        <w:t>а</w:t>
      </w:r>
      <w:r w:rsidR="006A18D3" w:rsidRPr="006A18D3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Грибановского муниципального района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 xml:space="preserve"> и</w:t>
      </w:r>
      <w:r w:rsidR="006A18D3">
        <w:rPr>
          <w:rFonts w:ascii="Times New Roman" w:eastAsia="HiddenHorzOCR" w:hAnsi="Times New Roman" w:cs="Times New Roman"/>
          <w:sz w:val="28"/>
          <w:szCs w:val="28"/>
        </w:rPr>
        <w:t xml:space="preserve"> о</w:t>
      </w:r>
      <w:r w:rsidR="006A18D3" w:rsidRPr="006A18D3">
        <w:rPr>
          <w:rFonts w:ascii="Times New Roman" w:hAnsi="Times New Roman" w:cs="Times New Roman"/>
          <w:sz w:val="28"/>
          <w:szCs w:val="28"/>
        </w:rPr>
        <w:t>тдел</w:t>
      </w:r>
      <w:r w:rsidR="006A18D3">
        <w:rPr>
          <w:rFonts w:ascii="Times New Roman" w:hAnsi="Times New Roman" w:cs="Times New Roman"/>
          <w:sz w:val="28"/>
          <w:szCs w:val="28"/>
        </w:rPr>
        <w:t>а</w:t>
      </w:r>
      <w:r w:rsidR="006A18D3" w:rsidRPr="006A18D3">
        <w:rPr>
          <w:rFonts w:ascii="Times New Roman" w:hAnsi="Times New Roman" w:cs="Times New Roman"/>
          <w:sz w:val="28"/>
          <w:szCs w:val="28"/>
        </w:rPr>
        <w:t xml:space="preserve"> по финансам администрации Грибановского муниципального района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). В случае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sz w:val="28"/>
          <w:szCs w:val="28"/>
        </w:rPr>
        <w:t>необходимости запрашивает у ответственного исполнителя программы иные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sz w:val="28"/>
          <w:szCs w:val="28"/>
        </w:rPr>
        <w:t>документы, необходимые для проведения экспертизы;</w:t>
      </w:r>
    </w:p>
    <w:p w:rsidR="006436FC" w:rsidRPr="006436FC" w:rsidRDefault="006436FC" w:rsidP="006A1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6FC">
        <w:rPr>
          <w:rFonts w:ascii="Times New Roman" w:hAnsi="Times New Roman" w:cs="Times New Roman"/>
          <w:sz w:val="28"/>
          <w:szCs w:val="28"/>
        </w:rPr>
        <w:t xml:space="preserve">-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 xml:space="preserve">экспертизу проекта программы в соответствии с разделом </w:t>
      </w:r>
      <w:r w:rsidRPr="006436FC">
        <w:rPr>
          <w:rFonts w:ascii="Times New Roman" w:hAnsi="Times New Roman" w:cs="Times New Roman"/>
          <w:sz w:val="28"/>
          <w:szCs w:val="28"/>
        </w:rPr>
        <w:t>4</w:t>
      </w:r>
    </w:p>
    <w:p w:rsidR="006436FC" w:rsidRPr="006436FC" w:rsidRDefault="006436FC" w:rsidP="006436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eastAsia="HiddenHorzOCR" w:hAnsi="Times New Roman" w:cs="Times New Roman"/>
          <w:sz w:val="28"/>
          <w:szCs w:val="28"/>
        </w:rPr>
        <w:t>настоящего Стандарта;</w:t>
      </w:r>
    </w:p>
    <w:p w:rsidR="006436FC" w:rsidRPr="006436FC" w:rsidRDefault="006436FC" w:rsidP="006A1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436FC">
        <w:rPr>
          <w:rFonts w:ascii="Times New Roman" w:hAnsi="Times New Roman" w:cs="Times New Roman"/>
          <w:sz w:val="28"/>
          <w:szCs w:val="28"/>
        </w:rPr>
        <w:t xml:space="preserve">-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 xml:space="preserve">оформление экспертного заключения по результатам экспертизы </w:t>
      </w:r>
      <w:proofErr w:type="gramStart"/>
      <w:r w:rsidRPr="006436FC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F5600E" w:rsidRDefault="006436FC" w:rsidP="00F5600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6436FC">
        <w:rPr>
          <w:rFonts w:ascii="Times New Roman" w:eastAsia="HiddenHorzOCR" w:hAnsi="Times New Roman" w:cs="Times New Roman"/>
          <w:sz w:val="28"/>
          <w:szCs w:val="28"/>
        </w:rPr>
        <w:t>соответствии</w:t>
      </w:r>
      <w:proofErr w:type="gramEnd"/>
      <w:r w:rsidRPr="006436FC">
        <w:rPr>
          <w:rFonts w:ascii="Times New Roman" w:eastAsia="HiddenHorzOCR" w:hAnsi="Times New Roman" w:cs="Times New Roman"/>
          <w:sz w:val="28"/>
          <w:szCs w:val="28"/>
        </w:rPr>
        <w:t xml:space="preserve"> с разделом </w:t>
      </w:r>
      <w:r w:rsidRPr="006436FC">
        <w:rPr>
          <w:rFonts w:ascii="Times New Roman" w:hAnsi="Times New Roman" w:cs="Times New Roman"/>
          <w:sz w:val="28"/>
          <w:szCs w:val="28"/>
        </w:rPr>
        <w:t xml:space="preserve">5 </w:t>
      </w:r>
      <w:r w:rsidRPr="006436FC">
        <w:rPr>
          <w:rFonts w:ascii="Times New Roman" w:eastAsia="HiddenHorzOCR" w:hAnsi="Times New Roman" w:cs="Times New Roman"/>
          <w:sz w:val="28"/>
          <w:szCs w:val="28"/>
        </w:rPr>
        <w:t>настоящего Стандарта.</w:t>
      </w:r>
    </w:p>
    <w:p w:rsidR="006A18D3" w:rsidRDefault="006A18D3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C42D5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42D57">
        <w:rPr>
          <w:rFonts w:ascii="Times New Roman" w:eastAsia="HiddenHorzOCR" w:hAnsi="Times New Roman" w:cs="Times New Roman"/>
          <w:b/>
          <w:sz w:val="28"/>
          <w:szCs w:val="28"/>
        </w:rPr>
        <w:t>Проведение экспертизы</w:t>
      </w: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42D57" w:rsidRPr="00C42D57" w:rsidRDefault="00C42D57" w:rsidP="00C42D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4.1.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В ходе проведения экспертизы проекта муниципальной программы</w:t>
      </w: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>подлежат рассмотрению и оценке следующие вопросы:</w:t>
      </w:r>
    </w:p>
    <w:p w:rsidR="00C42D57" w:rsidRPr="00C42D57" w:rsidRDefault="00C42D57" w:rsidP="006420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 xml:space="preserve">соответствие проекта программы требованиям </w:t>
      </w:r>
      <w:proofErr w:type="spellStart"/>
      <w:r w:rsidR="006420C0">
        <w:rPr>
          <w:rFonts w:ascii="Times New Roman" w:hAnsi="Times New Roman" w:cs="Times New Roman"/>
          <w:sz w:val="28"/>
          <w:szCs w:val="28"/>
        </w:rPr>
        <w:t>п</w:t>
      </w:r>
      <w:r w:rsidR="006420C0" w:rsidRPr="006420C0">
        <w:rPr>
          <w:rFonts w:ascii="Times New Roman" w:hAnsi="Times New Roman" w:cs="Times New Roman"/>
          <w:sz w:val="28"/>
          <w:szCs w:val="28"/>
        </w:rPr>
        <w:t>орядок</w:t>
      </w:r>
      <w:r w:rsidR="006420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20C0" w:rsidRPr="006420C0">
        <w:rPr>
          <w:rFonts w:ascii="Times New Roman" w:hAnsi="Times New Roman" w:cs="Times New Roman"/>
          <w:sz w:val="28"/>
          <w:szCs w:val="28"/>
        </w:rPr>
        <w:t xml:space="preserve"> принятия решений </w:t>
      </w:r>
      <w:r w:rsidR="006420C0" w:rsidRPr="006420C0">
        <w:rPr>
          <w:rFonts w:ascii="Times New Roman" w:eastAsia="Calibri" w:hAnsi="Times New Roman" w:cs="Times New Roman"/>
          <w:sz w:val="28"/>
          <w:szCs w:val="28"/>
        </w:rPr>
        <w:t>о  разработке,  реализации и оценке эффективности муниципальных программ</w:t>
      </w:r>
      <w:r w:rsidR="006420C0" w:rsidRPr="006420C0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C42D57" w:rsidRPr="00C42D57" w:rsidRDefault="00C42D57" w:rsidP="00B86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соответствие целей и задач программы Стратегии социально-</w:t>
      </w: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 xml:space="preserve">экономического развития </w:t>
      </w:r>
      <w:r w:rsidR="00B86798">
        <w:rPr>
          <w:rFonts w:ascii="Times New Roman" w:eastAsia="HiddenHorzOCR" w:hAnsi="Times New Roman" w:cs="Times New Roman"/>
          <w:sz w:val="28"/>
          <w:szCs w:val="28"/>
        </w:rPr>
        <w:t>муниципального района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C42D57" w:rsidRPr="00C42D57" w:rsidRDefault="00C42D57" w:rsidP="00B867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четкость формулировок целей и задач, их конкретность, возможность</w:t>
      </w: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>достижения поставленных задач в установленные сроки;</w:t>
      </w:r>
    </w:p>
    <w:p w:rsidR="00C42D57" w:rsidRPr="00C42D57" w:rsidRDefault="00C42D57" w:rsidP="00C76D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наличие измеряемых (натуральных и стоимостных) показателей,</w:t>
      </w: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>позволяющих оценить степень достижения целей и выполнения задач;</w:t>
      </w:r>
    </w:p>
    <w:p w:rsidR="00C42D57" w:rsidRPr="00C42D57" w:rsidRDefault="00C42D57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 xml:space="preserve">обоснованность и целесообразность выделения из </w:t>
      </w:r>
      <w:proofErr w:type="gramStart"/>
      <w:r w:rsidRPr="00C42D57">
        <w:rPr>
          <w:rFonts w:ascii="Times New Roman" w:eastAsia="HiddenHorzOCR" w:hAnsi="Times New Roman" w:cs="Times New Roman"/>
          <w:sz w:val="28"/>
          <w:szCs w:val="28"/>
        </w:rPr>
        <w:t>муниципальной</w:t>
      </w:r>
      <w:proofErr w:type="gramEnd"/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>программы подпрограмм и мероприятий;</w:t>
      </w:r>
    </w:p>
    <w:p w:rsidR="00C42D57" w:rsidRPr="00C42D57" w:rsidRDefault="00C42D57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взаимосвязь программных мероприятий, в том числе по срокам</w:t>
      </w: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>реализации, отсутствие дублирования мероприятий с другими программами;</w:t>
      </w:r>
    </w:p>
    <w:p w:rsidR="00C42D57" w:rsidRPr="00C42D57" w:rsidRDefault="00C42D57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соответствие программных мероприятий целям и задачам</w:t>
      </w:r>
      <w:r w:rsidR="00B2267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муниципальной программы;</w:t>
      </w:r>
    </w:p>
    <w:p w:rsidR="00C42D57" w:rsidRPr="00C42D57" w:rsidRDefault="00C42D57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обоснованность объемов и источников финансирования программных</w:t>
      </w: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>мероприятий, в том числе за счет внебюджетных средств;</w:t>
      </w:r>
    </w:p>
    <w:p w:rsidR="00C42D57" w:rsidRPr="00C42D57" w:rsidRDefault="00C42D57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четкая формулировка и простота понимания целевых показателей</w:t>
      </w: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>(индикаторов) программы;</w:t>
      </w:r>
    </w:p>
    <w:p w:rsidR="00C42D57" w:rsidRPr="00C42D57" w:rsidRDefault="00C42D57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наличие достоверного источника информации или методики расчета</w:t>
      </w: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>целевых показателей (индикаторов);</w:t>
      </w:r>
    </w:p>
    <w:p w:rsidR="00C42D57" w:rsidRPr="00C42D57" w:rsidRDefault="00C42D57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наличие взаимосвязи между целевыми показателями (индикаторами)</w:t>
      </w: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>и программными мероприятиями;</w:t>
      </w:r>
    </w:p>
    <w:p w:rsidR="00C42D57" w:rsidRPr="00C42D57" w:rsidRDefault="00C42D57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наличие ответственных лиц (структурных подразделений) за</w:t>
      </w:r>
      <w:r w:rsidR="00B2267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реализацию программы в целом и за исполнение отдельных программных</w:t>
      </w: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>мероприятий.</w:t>
      </w:r>
    </w:p>
    <w:p w:rsidR="00C42D57" w:rsidRPr="00C42D57" w:rsidRDefault="00C42D57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4.2.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 xml:space="preserve">Экспертиза проектов изменений в программы осуществляется </w:t>
      </w:r>
      <w:proofErr w:type="gramStart"/>
      <w:r w:rsidRPr="00C42D57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 xml:space="preserve">порядке, определенном для экспертизы проекта программы, с </w:t>
      </w:r>
      <w:proofErr w:type="gramStart"/>
      <w:r w:rsidRPr="00C42D57">
        <w:rPr>
          <w:rFonts w:ascii="Times New Roman" w:eastAsia="HiddenHorzOCR" w:hAnsi="Times New Roman" w:cs="Times New Roman"/>
          <w:sz w:val="28"/>
          <w:szCs w:val="28"/>
        </w:rPr>
        <w:t>обязательным</w:t>
      </w:r>
      <w:proofErr w:type="gramEnd"/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>рассмотрением вопросов правомерности и обоснованности предлагаемых</w:t>
      </w:r>
    </w:p>
    <w:p w:rsidR="00C42D57" w:rsidRPr="00C42D57" w:rsidRDefault="00C42D57" w:rsidP="00C42D57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eastAsia="HiddenHorzOCR" w:hAnsi="Times New Roman" w:cs="Times New Roman"/>
          <w:sz w:val="28"/>
          <w:szCs w:val="28"/>
        </w:rPr>
        <w:t xml:space="preserve">изменений, их соответствием показателям бюджета </w:t>
      </w:r>
      <w:r w:rsidR="00B2267E">
        <w:rPr>
          <w:rFonts w:ascii="Times New Roman" w:eastAsia="HiddenHorzOCR" w:hAnsi="Times New Roman" w:cs="Times New Roman"/>
          <w:sz w:val="28"/>
          <w:szCs w:val="28"/>
        </w:rPr>
        <w:t>муниципального района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, а также:</w:t>
      </w:r>
    </w:p>
    <w:p w:rsidR="00C42D57" w:rsidRPr="00C42D57" w:rsidRDefault="00C42D57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целесообразности и корректности предлагаемых изменений;</w:t>
      </w:r>
    </w:p>
    <w:p w:rsidR="00C42D57" w:rsidRPr="00C42D57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="00C42D57" w:rsidRPr="00C42D57">
        <w:rPr>
          <w:rFonts w:ascii="Times New Roman" w:eastAsia="HiddenHorzOCR" w:hAnsi="Times New Roman" w:cs="Times New Roman"/>
          <w:sz w:val="28"/>
          <w:szCs w:val="28"/>
        </w:rPr>
        <w:t>согласованности предлагаемых изменений с объемами финансирования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42D57" w:rsidRPr="00C42D57">
        <w:rPr>
          <w:rFonts w:ascii="Times New Roman" w:eastAsia="HiddenHorzOCR" w:hAnsi="Times New Roman" w:cs="Times New Roman"/>
          <w:sz w:val="28"/>
          <w:szCs w:val="28"/>
        </w:rPr>
        <w:t>сроками реализации программных мероприятий, достижением целевых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42D57" w:rsidRPr="00C42D57">
        <w:rPr>
          <w:rFonts w:ascii="Times New Roman" w:eastAsia="HiddenHorzOCR" w:hAnsi="Times New Roman" w:cs="Times New Roman"/>
          <w:sz w:val="28"/>
          <w:szCs w:val="28"/>
        </w:rPr>
        <w:t>показателей (индикаторов) и ожидаемых результатов;</w:t>
      </w:r>
    </w:p>
    <w:p w:rsidR="00C42D57" w:rsidRPr="00C42D57" w:rsidRDefault="00C42D57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-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устранения замечаний, изложенных по результатам ранее</w:t>
      </w:r>
      <w:r w:rsidR="00B2267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проведенных экспертиз муниципальной программы.</w:t>
      </w:r>
    </w:p>
    <w:p w:rsidR="00C42D57" w:rsidRPr="00C42D57" w:rsidRDefault="00C42D57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D57">
        <w:rPr>
          <w:rFonts w:ascii="Times New Roman" w:hAnsi="Times New Roman" w:cs="Times New Roman"/>
          <w:sz w:val="28"/>
          <w:szCs w:val="28"/>
        </w:rPr>
        <w:t xml:space="preserve">4.3.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При проведении экспертизы проекта программы или проекта</w:t>
      </w:r>
      <w:r w:rsidR="00B2267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изменений программы учитываться результаты ранее проведенных</w:t>
      </w:r>
      <w:r w:rsidR="00B2267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42D57">
        <w:rPr>
          <w:rFonts w:ascii="Times New Roman" w:eastAsia="HiddenHorzOCR" w:hAnsi="Times New Roman" w:cs="Times New Roman"/>
          <w:sz w:val="28"/>
          <w:szCs w:val="28"/>
        </w:rPr>
        <w:t>контрольных и экспертно-аналитических мероприятий.</w:t>
      </w: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67E" w:rsidRDefault="00B2267E" w:rsidP="006420C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b/>
          <w:sz w:val="28"/>
          <w:szCs w:val="28"/>
        </w:rPr>
        <w:t>5.Оформление заключения по итогам экспертизы</w:t>
      </w:r>
    </w:p>
    <w:p w:rsidR="006420C0" w:rsidRPr="00B2267E" w:rsidRDefault="006420C0" w:rsidP="006420C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2267E" w:rsidRPr="00B2267E" w:rsidRDefault="00B2267E" w:rsidP="006420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5.1. По результатам проведения экспертизы ответственным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должностным лицом </w:t>
      </w:r>
      <w:r w:rsidR="000A19F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составляется экспертное заключение (далее -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заключение).</w:t>
      </w:r>
    </w:p>
    <w:p w:rsidR="00B2267E" w:rsidRPr="00B2267E" w:rsidRDefault="00B2267E" w:rsidP="006420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5.2. В заключении указывается структурное подразделение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, направившее в КСП проект муниципальной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программы (ответственный исполнитель программы) и наименование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муниципальной программы. Если по результатам ранее проведенной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экспертизы ответственному исполнителю направлялись замечания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предложения и проект программы был представлен на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lastRenderedPageBreak/>
        <w:t>экспертизу повторно, 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заключении отражается информация о доработке представленного проекта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муниципальной программы.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5.3. </w:t>
      </w:r>
      <w:proofErr w:type="gramStart"/>
      <w:r w:rsidRPr="00B2267E">
        <w:rPr>
          <w:rFonts w:ascii="Times New Roman" w:eastAsia="HiddenHorzOCR" w:hAnsi="Times New Roman" w:cs="Times New Roman"/>
          <w:sz w:val="28"/>
          <w:szCs w:val="28"/>
        </w:rPr>
        <w:t>В заключении анализируются основные параметры проекта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программы (основной разработчик, ответственный исполнитель,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соисполнители, участники, цели программы, сроки реализации и т.д.), структура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программы в разрезе подпрограмм и основных мероприятий, объемы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финансирования с оценкой их обоснованности, соответствие объемов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финансирования паспорту программы, целевые показатели (индикаторы)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программы и их соответствие запланированным объемам финансирования,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делаются выводы и даются рекомендации.</w:t>
      </w:r>
      <w:proofErr w:type="gramEnd"/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В заключении отражаются наиболее существенные вопросы, выявленные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в ходе экспертизы: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- целей, задач и ожидаемых результатов реализации программы;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- формирования программных мероприятий, выделения из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муниципальной программы подпрограмм и основных мероприятий;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- соответствия целей, задач и проводимых мероприятий приоритетам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социально-экономического развития, </w:t>
      </w:r>
      <w:proofErr w:type="gramStart"/>
      <w:r w:rsidRPr="00B2267E">
        <w:rPr>
          <w:rFonts w:ascii="Times New Roman" w:eastAsia="HiddenHorzOCR" w:hAnsi="Times New Roman" w:cs="Times New Roman"/>
          <w:sz w:val="28"/>
          <w:szCs w:val="28"/>
        </w:rPr>
        <w:t>определенным</w:t>
      </w:r>
      <w:proofErr w:type="gramEnd"/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 стратегией социально-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экономического развития городского округа;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- распределения задач и мероприятий между соисполнителями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муниципальной программы;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- установления финансовых потребностей муниципальной программы;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- определения и установления значений целевых показателей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(индикаторов) программы.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5.3.1. При проведении экспертизы проекта изменений в программу </w:t>
      </w:r>
      <w:proofErr w:type="gramStart"/>
      <w:r w:rsidRPr="00B2267E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B2267E" w:rsidRPr="00B2267E" w:rsidRDefault="00B2267E" w:rsidP="00B2267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заключении отражаются причины и обоснованность вносимых изменений, </w:t>
      </w:r>
      <w:proofErr w:type="gramStart"/>
      <w:r w:rsidRPr="00B2267E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B2267E" w:rsidRPr="00B2267E" w:rsidRDefault="00B2267E" w:rsidP="00B2267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том числе: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B2267E">
        <w:rPr>
          <w:rFonts w:ascii="Times New Roman" w:eastAsia="HiddenHorzOCR" w:hAnsi="Times New Roman" w:cs="Times New Roman"/>
          <w:sz w:val="28"/>
          <w:szCs w:val="28"/>
        </w:rPr>
        <w:t>- изменения объемов финансирования (в разрезе подпрограмм и</w:t>
      </w:r>
      <w:proofErr w:type="gramEnd"/>
    </w:p>
    <w:p w:rsidR="00B2267E" w:rsidRPr="00B2267E" w:rsidRDefault="00B2267E" w:rsidP="00B2267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основных мероприятий);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- изменения целевых показателей (индикаторов), в том числе в связи </w:t>
      </w:r>
      <w:proofErr w:type="gramStart"/>
      <w:r w:rsidRPr="00B2267E">
        <w:rPr>
          <w:rFonts w:ascii="Times New Roman" w:eastAsia="HiddenHorzOCR" w:hAnsi="Times New Roman" w:cs="Times New Roman"/>
          <w:sz w:val="28"/>
          <w:szCs w:val="28"/>
        </w:rPr>
        <w:t>с</w:t>
      </w:r>
      <w:proofErr w:type="gramEnd"/>
    </w:p>
    <w:p w:rsidR="00B2267E" w:rsidRPr="00B2267E" w:rsidRDefault="00B2267E" w:rsidP="00B2267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изменением объемов финансирования;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- основные направления использования бюджетных средств в </w:t>
      </w:r>
      <w:proofErr w:type="gramStart"/>
      <w:r w:rsidRPr="00B2267E">
        <w:rPr>
          <w:rFonts w:ascii="Times New Roman" w:eastAsia="HiddenHorzOCR" w:hAnsi="Times New Roman" w:cs="Times New Roman"/>
          <w:sz w:val="28"/>
          <w:szCs w:val="28"/>
        </w:rPr>
        <w:t>текущем</w:t>
      </w:r>
      <w:proofErr w:type="gramEnd"/>
    </w:p>
    <w:p w:rsidR="00B2267E" w:rsidRPr="00B2267E" w:rsidRDefault="00B2267E" w:rsidP="00B2267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B2267E">
        <w:rPr>
          <w:rFonts w:ascii="Times New Roman" w:eastAsia="HiddenHorzOCR" w:hAnsi="Times New Roman" w:cs="Times New Roman"/>
          <w:sz w:val="28"/>
          <w:szCs w:val="28"/>
        </w:rPr>
        <w:t>финансовом году в разрезе подпрограмм и основных мероприятий.</w:t>
      </w:r>
      <w:proofErr w:type="gramEnd"/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5.4. Заключение должно содержать исчерпывающие выводы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исследованным вопросам. Выводы должны быть обоснованы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соответствующими нормативными актами. Изложение должно быть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системным, чётким, лаконичным и доступным для понимания.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5.5. </w:t>
      </w:r>
      <w:proofErr w:type="gramStart"/>
      <w:r w:rsidRPr="00B2267E">
        <w:rPr>
          <w:rFonts w:ascii="Times New Roman" w:eastAsia="HiddenHorzOCR" w:hAnsi="Times New Roman" w:cs="Times New Roman"/>
          <w:sz w:val="28"/>
          <w:szCs w:val="28"/>
        </w:rPr>
        <w:t>В случае выявления в проекте муниципальной программы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нарушений, они отмечаются с изложением сути нарушения и указанием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соответствующих нормативных правовых актов и конкретных норм (статей,</w:t>
      </w:r>
      <w:proofErr w:type="gramEnd"/>
    </w:p>
    <w:p w:rsidR="00B2267E" w:rsidRPr="00B2267E" w:rsidRDefault="00B2267E" w:rsidP="00B2267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lastRenderedPageBreak/>
        <w:t>частей, пунктов).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5.6. </w:t>
      </w:r>
      <w:proofErr w:type="gramStart"/>
      <w:r w:rsidRPr="00B2267E">
        <w:rPr>
          <w:rFonts w:ascii="Times New Roman" w:eastAsia="HiddenHorzOCR" w:hAnsi="Times New Roman" w:cs="Times New Roman"/>
          <w:sz w:val="28"/>
          <w:szCs w:val="28"/>
        </w:rPr>
        <w:t>В случае выявления в проекте муниципальной программы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недостатков, они отмечаются с изложением сути недостатка, приводится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обоснование более рациональных, экономных способов достижения результата,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либо обоснование нецелесообразности использования средств </w:t>
      </w:r>
      <w:r>
        <w:rPr>
          <w:rFonts w:ascii="Times New Roman" w:eastAsia="HiddenHorzOCR" w:hAnsi="Times New Roman" w:cs="Times New Roman"/>
          <w:sz w:val="28"/>
          <w:szCs w:val="28"/>
        </w:rPr>
        <w:t>муниципального бюджета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 на реализацию определенного мероприятия и рекомендации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привлечению для достижения целей программы средств из иных источников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помимо бюджета </w:t>
      </w:r>
      <w:r>
        <w:rPr>
          <w:rFonts w:ascii="Times New Roman" w:eastAsia="HiddenHorzOCR" w:hAnsi="Times New Roman" w:cs="Times New Roman"/>
          <w:sz w:val="28"/>
          <w:szCs w:val="28"/>
        </w:rPr>
        <w:t>муниципального района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 и т.д.</w:t>
      </w:r>
      <w:proofErr w:type="gramEnd"/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5.7. Заключение не должно содержать политических оценок проекта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программы (изменений в программу).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5.8. По результатам экспертизы в заключении отражаются выводы о</w:t>
      </w:r>
    </w:p>
    <w:p w:rsidR="00B2267E" w:rsidRPr="00B2267E" w:rsidRDefault="00B2267E" w:rsidP="00B2267E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необходимости устранения выявленных нарушений, недостатков либо</w:t>
      </w:r>
      <w:r w:rsidR="00394A3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информация об отсутствии замечаний и предложений.</w:t>
      </w:r>
    </w:p>
    <w:p w:rsidR="00B2267E" w:rsidRPr="00B2267E" w:rsidRDefault="00B2267E" w:rsidP="00394A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5.9. При обнаружении в ходе проведения экспертизы программы</w:t>
      </w:r>
      <w:r w:rsidR="00394A3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B2267E">
        <w:rPr>
          <w:rFonts w:ascii="Times New Roman" w:eastAsia="HiddenHorzOCR" w:hAnsi="Times New Roman" w:cs="Times New Roman"/>
          <w:sz w:val="28"/>
          <w:szCs w:val="28"/>
        </w:rPr>
        <w:t>коррупциогенных</w:t>
      </w:r>
      <w:proofErr w:type="spellEnd"/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 факторов в заключени</w:t>
      </w:r>
      <w:proofErr w:type="gramStart"/>
      <w:r w:rsidRPr="00B2267E">
        <w:rPr>
          <w:rFonts w:ascii="Times New Roman" w:eastAsia="HiddenHorzOCR" w:hAnsi="Times New Roman" w:cs="Times New Roman"/>
          <w:sz w:val="28"/>
          <w:szCs w:val="28"/>
        </w:rPr>
        <w:t>и</w:t>
      </w:r>
      <w:proofErr w:type="gramEnd"/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 должна быть отражена</w:t>
      </w:r>
      <w:r w:rsidR="00394A3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соответствующая информация.</w:t>
      </w:r>
    </w:p>
    <w:p w:rsidR="00B2267E" w:rsidRPr="00394A3E" w:rsidRDefault="00B2267E" w:rsidP="00394A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highlight w:val="yellow"/>
        </w:rPr>
      </w:pPr>
      <w:r w:rsidRPr="00B2267E">
        <w:rPr>
          <w:rFonts w:ascii="Times New Roman" w:eastAsia="HiddenHorzOCR" w:hAnsi="Times New Roman" w:cs="Times New Roman"/>
          <w:sz w:val="28"/>
          <w:szCs w:val="28"/>
        </w:rPr>
        <w:t>5.10. Заключение оформляется в соответствии с Регламентом</w:t>
      </w:r>
      <w:r w:rsidR="00394A3E">
        <w:rPr>
          <w:rFonts w:ascii="Times New Roman" w:eastAsia="HiddenHorzOCR" w:hAnsi="Times New Roman" w:cs="Times New Roman"/>
          <w:sz w:val="28"/>
          <w:szCs w:val="28"/>
        </w:rPr>
        <w:t xml:space="preserve"> к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 w:rsidR="00394A3E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Pr="00394A3E">
        <w:rPr>
          <w:rFonts w:ascii="Times New Roman" w:eastAsia="HiddenHorzOCR" w:hAnsi="Times New Roman" w:cs="Times New Roman"/>
          <w:sz w:val="28"/>
          <w:szCs w:val="28"/>
          <w:highlight w:val="yellow"/>
        </w:rPr>
        <w:t>Инструкцией по проведению правовой</w:t>
      </w:r>
    </w:p>
    <w:p w:rsidR="00F5600E" w:rsidRDefault="00B2267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A3E">
        <w:rPr>
          <w:rFonts w:ascii="Times New Roman" w:eastAsia="HiddenHorzOCR" w:hAnsi="Times New Roman" w:cs="Times New Roman"/>
          <w:sz w:val="28"/>
          <w:szCs w:val="28"/>
          <w:highlight w:val="yellow"/>
        </w:rPr>
        <w:t>экспертизы материалов контрольных и экспертно-аналитических мероприятий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,</w:t>
      </w:r>
      <w:r w:rsidR="00394A3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после чего подписывается председателем КС</w:t>
      </w:r>
      <w:r w:rsidR="00394A3E">
        <w:rPr>
          <w:rFonts w:ascii="Times New Roman" w:eastAsia="HiddenHorzOCR" w:hAnsi="Times New Roman" w:cs="Times New Roman"/>
          <w:sz w:val="28"/>
          <w:szCs w:val="28"/>
        </w:rPr>
        <w:t>К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 xml:space="preserve"> и направляется ответственному</w:t>
      </w:r>
      <w:r w:rsidR="00394A3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2267E">
        <w:rPr>
          <w:rFonts w:ascii="Times New Roman" w:eastAsia="HiddenHorzOCR" w:hAnsi="Times New Roman" w:cs="Times New Roman"/>
          <w:sz w:val="28"/>
          <w:szCs w:val="28"/>
        </w:rPr>
        <w:t>исполнителю программы.</w:t>
      </w: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5600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D7" w:rsidRDefault="00301CD7" w:rsidP="004E25A0">
      <w:pPr>
        <w:spacing w:after="0" w:line="240" w:lineRule="auto"/>
      </w:pPr>
      <w:r>
        <w:separator/>
      </w:r>
    </w:p>
  </w:endnote>
  <w:endnote w:type="continuationSeparator" w:id="0">
    <w:p w:rsidR="00301CD7" w:rsidRDefault="00301CD7" w:rsidP="004E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D7" w:rsidRDefault="00301CD7" w:rsidP="004E25A0">
      <w:pPr>
        <w:spacing w:after="0" w:line="240" w:lineRule="auto"/>
      </w:pPr>
      <w:r>
        <w:separator/>
      </w:r>
    </w:p>
  </w:footnote>
  <w:footnote w:type="continuationSeparator" w:id="0">
    <w:p w:rsidR="00301CD7" w:rsidRDefault="00301CD7" w:rsidP="004E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508522"/>
      <w:docPartObj>
        <w:docPartGallery w:val="Page Numbers (Top of Page)"/>
        <w:docPartUnique/>
      </w:docPartObj>
    </w:sdtPr>
    <w:sdtEndPr/>
    <w:sdtContent>
      <w:p w:rsidR="00682FEF" w:rsidRDefault="00682F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000">
          <w:rPr>
            <w:noProof/>
          </w:rPr>
          <w:t>1</w:t>
        </w:r>
        <w:r>
          <w:fldChar w:fldCharType="end"/>
        </w:r>
      </w:p>
    </w:sdtContent>
  </w:sdt>
  <w:p w:rsidR="00682FEF" w:rsidRDefault="00682F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04C"/>
    <w:multiLevelType w:val="hybridMultilevel"/>
    <w:tmpl w:val="8C58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1AA"/>
    <w:multiLevelType w:val="hybridMultilevel"/>
    <w:tmpl w:val="E10AC42C"/>
    <w:lvl w:ilvl="0" w:tplc="BA6EB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2EE0"/>
    <w:multiLevelType w:val="hybridMultilevel"/>
    <w:tmpl w:val="8A80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977"/>
    <w:multiLevelType w:val="hybridMultilevel"/>
    <w:tmpl w:val="5896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6AB0"/>
    <w:multiLevelType w:val="hybridMultilevel"/>
    <w:tmpl w:val="CD94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21782"/>
    <w:multiLevelType w:val="hybridMultilevel"/>
    <w:tmpl w:val="31ECB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205D0"/>
    <w:multiLevelType w:val="hybridMultilevel"/>
    <w:tmpl w:val="D51085FE"/>
    <w:lvl w:ilvl="0" w:tplc="0200F20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841192"/>
    <w:multiLevelType w:val="hybridMultilevel"/>
    <w:tmpl w:val="F8CA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82D37"/>
    <w:multiLevelType w:val="multilevel"/>
    <w:tmpl w:val="5994F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0"/>
    <w:rsid w:val="000A19F7"/>
    <w:rsid w:val="000E1B51"/>
    <w:rsid w:val="000E1CA1"/>
    <w:rsid w:val="00101CA2"/>
    <w:rsid w:val="00195C59"/>
    <w:rsid w:val="001C07E7"/>
    <w:rsid w:val="001E23B0"/>
    <w:rsid w:val="00234F83"/>
    <w:rsid w:val="0027327C"/>
    <w:rsid w:val="00283431"/>
    <w:rsid w:val="00286385"/>
    <w:rsid w:val="003019C2"/>
    <w:rsid w:val="00301CD7"/>
    <w:rsid w:val="00317F53"/>
    <w:rsid w:val="003326BF"/>
    <w:rsid w:val="00394A3E"/>
    <w:rsid w:val="0043311A"/>
    <w:rsid w:val="00465823"/>
    <w:rsid w:val="004E25A0"/>
    <w:rsid w:val="00517039"/>
    <w:rsid w:val="00521000"/>
    <w:rsid w:val="00532FF0"/>
    <w:rsid w:val="005A063B"/>
    <w:rsid w:val="005A44EB"/>
    <w:rsid w:val="005A75E9"/>
    <w:rsid w:val="005C52E1"/>
    <w:rsid w:val="005F30BE"/>
    <w:rsid w:val="005F36EB"/>
    <w:rsid w:val="0060714D"/>
    <w:rsid w:val="00635DC3"/>
    <w:rsid w:val="00637836"/>
    <w:rsid w:val="006420C0"/>
    <w:rsid w:val="006436FC"/>
    <w:rsid w:val="00655F15"/>
    <w:rsid w:val="00682FEF"/>
    <w:rsid w:val="006A18D3"/>
    <w:rsid w:val="006C2ECD"/>
    <w:rsid w:val="00710BB5"/>
    <w:rsid w:val="007275FD"/>
    <w:rsid w:val="00763790"/>
    <w:rsid w:val="0079783B"/>
    <w:rsid w:val="00797FBB"/>
    <w:rsid w:val="007A720D"/>
    <w:rsid w:val="007D44BE"/>
    <w:rsid w:val="00822151"/>
    <w:rsid w:val="00844650"/>
    <w:rsid w:val="008F0665"/>
    <w:rsid w:val="00983BF3"/>
    <w:rsid w:val="009E01CF"/>
    <w:rsid w:val="009E0A9D"/>
    <w:rsid w:val="00B2267E"/>
    <w:rsid w:val="00B86798"/>
    <w:rsid w:val="00BB00FA"/>
    <w:rsid w:val="00BC6EF1"/>
    <w:rsid w:val="00C17377"/>
    <w:rsid w:val="00C42D57"/>
    <w:rsid w:val="00C76D4B"/>
    <w:rsid w:val="00CC0FC7"/>
    <w:rsid w:val="00D322E6"/>
    <w:rsid w:val="00D35B4E"/>
    <w:rsid w:val="00D77634"/>
    <w:rsid w:val="00E043B0"/>
    <w:rsid w:val="00E51CF0"/>
    <w:rsid w:val="00EA0E9A"/>
    <w:rsid w:val="00EC085F"/>
    <w:rsid w:val="00EF77ED"/>
    <w:rsid w:val="00F2419E"/>
    <w:rsid w:val="00F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7667-A74B-4C6D-8943-BDE7FCB0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2022-01-11T14:31:00Z</cp:lastPrinted>
  <dcterms:created xsi:type="dcterms:W3CDTF">2022-01-12T14:16:00Z</dcterms:created>
  <dcterms:modified xsi:type="dcterms:W3CDTF">2022-01-12T14:16:00Z</dcterms:modified>
</cp:coreProperties>
</file>