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32333C">
        <w:rPr>
          <w:rFonts w:ascii="Times New Roman" w:hAnsi="Times New Roman"/>
          <w:b/>
          <w:bCs/>
          <w:sz w:val="24"/>
          <w:szCs w:val="24"/>
          <w:lang w:eastAsia="ru-RU"/>
        </w:rPr>
        <w:t>28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8E508C">
        <w:rPr>
          <w:rFonts w:ascii="Times New Roman" w:hAnsi="Times New Roman"/>
          <w:sz w:val="24"/>
          <w:szCs w:val="24"/>
          <w:lang w:eastAsia="ru-RU"/>
        </w:rPr>
        <w:t xml:space="preserve">области </w:t>
      </w:r>
      <w:r w:rsidR="00696792" w:rsidRPr="008E508C">
        <w:rPr>
          <w:rFonts w:ascii="Times New Roman" w:hAnsi="Times New Roman"/>
          <w:sz w:val="24"/>
          <w:szCs w:val="24"/>
          <w:lang w:eastAsia="ru-RU"/>
        </w:rPr>
        <w:t xml:space="preserve">от </w:t>
      </w:r>
      <w:r w:rsidR="008E508C" w:rsidRPr="008E508C">
        <w:rPr>
          <w:rFonts w:ascii="Times New Roman" w:hAnsi="Times New Roman"/>
          <w:sz w:val="24"/>
          <w:szCs w:val="24"/>
          <w:lang w:eastAsia="ru-RU"/>
        </w:rPr>
        <w:t>22.11</w:t>
      </w:r>
      <w:r w:rsidR="00877E82" w:rsidRPr="008E508C">
        <w:rPr>
          <w:rFonts w:ascii="Times New Roman" w:hAnsi="Times New Roman"/>
          <w:sz w:val="24"/>
          <w:szCs w:val="24"/>
          <w:lang w:eastAsia="ru-RU"/>
        </w:rPr>
        <w:t>.2019</w:t>
      </w:r>
      <w:r w:rsidR="008C27AA" w:rsidRPr="008E508C">
        <w:rPr>
          <w:rFonts w:ascii="Times New Roman" w:hAnsi="Times New Roman"/>
          <w:sz w:val="24"/>
          <w:szCs w:val="24"/>
          <w:lang w:eastAsia="ru-RU"/>
        </w:rPr>
        <w:t>г.</w:t>
      </w:r>
      <w:r w:rsidR="00CD3AB8" w:rsidRPr="008E508C">
        <w:rPr>
          <w:rFonts w:ascii="Times New Roman" w:hAnsi="Times New Roman"/>
          <w:sz w:val="24"/>
          <w:szCs w:val="24"/>
          <w:lang w:eastAsia="ru-RU"/>
        </w:rPr>
        <w:t xml:space="preserve"> № </w:t>
      </w:r>
      <w:r w:rsidR="008E508C" w:rsidRPr="008E508C">
        <w:rPr>
          <w:rFonts w:ascii="Times New Roman" w:hAnsi="Times New Roman"/>
          <w:sz w:val="24"/>
          <w:szCs w:val="24"/>
          <w:lang w:eastAsia="ru-RU"/>
        </w:rPr>
        <w:t>588</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2333C">
        <w:rPr>
          <w:rFonts w:ascii="Times New Roman" w:hAnsi="Times New Roman"/>
          <w:b/>
          <w:sz w:val="24"/>
          <w:szCs w:val="24"/>
          <w:lang w:eastAsia="ru-RU"/>
        </w:rPr>
        <w:t>явок – 06</w:t>
      </w:r>
      <w:r w:rsidR="008E508C">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2333C">
        <w:rPr>
          <w:rFonts w:ascii="Times New Roman" w:hAnsi="Times New Roman"/>
          <w:b/>
          <w:sz w:val="24"/>
          <w:szCs w:val="24"/>
          <w:lang w:eastAsia="ru-RU"/>
        </w:rPr>
        <w:t>04 января</w:t>
      </w:r>
      <w:r w:rsidR="00617A28">
        <w:rPr>
          <w:rFonts w:ascii="Times New Roman" w:hAnsi="Times New Roman"/>
          <w:b/>
          <w:sz w:val="24"/>
          <w:szCs w:val="24"/>
          <w:lang w:eastAsia="ru-RU"/>
        </w:rPr>
        <w:t xml:space="preserve"> </w:t>
      </w:r>
      <w:r w:rsidR="003233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r w:rsidR="0032333C">
        <w:t>.</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E508C">
        <w:rPr>
          <w:b/>
        </w:rPr>
        <w:t>09</w:t>
      </w:r>
      <w:r w:rsidR="00425E6C" w:rsidRPr="0024051A">
        <w:rPr>
          <w:b/>
        </w:rPr>
        <w:t xml:space="preserve"> </w:t>
      </w:r>
      <w:r w:rsidR="008E508C">
        <w:rPr>
          <w:b/>
        </w:rPr>
        <w:t>января  2020</w:t>
      </w:r>
      <w:r w:rsidR="000D78A0">
        <w:rPr>
          <w:b/>
        </w:rPr>
        <w:t>г  в  14</w:t>
      </w:r>
      <w:r w:rsidR="0053257B">
        <w:rPr>
          <w:b/>
        </w:rPr>
        <w:t>:4</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C15969">
        <w:rPr>
          <w:b/>
        </w:rPr>
        <w:t>13</w:t>
      </w:r>
      <w:r w:rsidR="008E508C">
        <w:rPr>
          <w:b/>
        </w:rPr>
        <w:t xml:space="preserve"> января  2020</w:t>
      </w:r>
      <w:r w:rsidR="00B93E6D" w:rsidRPr="0024051A">
        <w:rPr>
          <w:b/>
        </w:rPr>
        <w:t>г.</w:t>
      </w:r>
      <w:r w:rsidR="008E508C">
        <w:rPr>
          <w:b/>
        </w:rPr>
        <w:t xml:space="preserve"> в 14</w:t>
      </w:r>
      <w:r w:rsidR="0053257B">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2333C">
        <w:rPr>
          <w:rFonts w:ascii="Times New Roman" w:hAnsi="Times New Roman"/>
          <w:sz w:val="24"/>
          <w:szCs w:val="24"/>
        </w:rPr>
        <w:t>абочие дни с 06.12</w:t>
      </w:r>
      <w:r w:rsidR="00877E82">
        <w:rPr>
          <w:rFonts w:ascii="Times New Roman" w:hAnsi="Times New Roman"/>
          <w:sz w:val="24"/>
          <w:szCs w:val="24"/>
        </w:rPr>
        <w:t>.2019</w:t>
      </w:r>
      <w:r w:rsidR="002B5CC1">
        <w:rPr>
          <w:rFonts w:ascii="Times New Roman" w:hAnsi="Times New Roman"/>
          <w:sz w:val="24"/>
          <w:szCs w:val="24"/>
        </w:rPr>
        <w:t>г.</w:t>
      </w:r>
      <w:r w:rsidR="0032333C">
        <w:rPr>
          <w:rFonts w:ascii="Times New Roman" w:hAnsi="Times New Roman"/>
          <w:sz w:val="24"/>
          <w:szCs w:val="24"/>
        </w:rPr>
        <w:t xml:space="preserve"> по 04.01.2020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53257B">
              <w:rPr>
                <w:rFonts w:ascii="Times New Roman" w:hAnsi="Times New Roman"/>
                <w:sz w:val="24"/>
                <w:szCs w:val="24"/>
              </w:rPr>
              <w:t>2200030</w:t>
            </w:r>
            <w:r w:rsidR="00877E82">
              <w:rPr>
                <w:rFonts w:ascii="Times New Roman" w:hAnsi="Times New Roman"/>
                <w:sz w:val="24"/>
                <w:szCs w:val="24"/>
              </w:rPr>
              <w:lastRenderedPageBreak/>
              <w:t>:</w:t>
            </w:r>
            <w:r w:rsidR="0053257B">
              <w:rPr>
                <w:rFonts w:ascii="Times New Roman" w:hAnsi="Times New Roman"/>
                <w:sz w:val="24"/>
                <w:szCs w:val="24"/>
              </w:rPr>
              <w:t>49</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gramStart"/>
            <w:r w:rsidR="0053257B">
              <w:rPr>
                <w:rFonts w:ascii="Times New Roman" w:hAnsi="Times New Roman"/>
                <w:sz w:val="24"/>
                <w:szCs w:val="24"/>
              </w:rPr>
              <w:t>с</w:t>
            </w:r>
            <w:proofErr w:type="gramEnd"/>
            <w:r w:rsidR="0053257B">
              <w:rPr>
                <w:rFonts w:ascii="Times New Roman" w:hAnsi="Times New Roman"/>
                <w:sz w:val="24"/>
                <w:szCs w:val="24"/>
              </w:rPr>
              <w:t xml:space="preserve">. </w:t>
            </w:r>
            <w:proofErr w:type="gramStart"/>
            <w:r w:rsidR="0053257B">
              <w:rPr>
                <w:rFonts w:ascii="Times New Roman" w:hAnsi="Times New Roman"/>
                <w:sz w:val="24"/>
                <w:szCs w:val="24"/>
              </w:rPr>
              <w:t>Листопадовка</w:t>
            </w:r>
            <w:proofErr w:type="gramEnd"/>
            <w:r w:rsidR="00A74A45">
              <w:rPr>
                <w:rFonts w:ascii="Times New Roman" w:hAnsi="Times New Roman"/>
                <w:sz w:val="24"/>
                <w:szCs w:val="24"/>
              </w:rPr>
              <w:t>, северо-западная</w:t>
            </w:r>
            <w:r w:rsidR="00877E82">
              <w:rPr>
                <w:rFonts w:ascii="Times New Roman" w:hAnsi="Times New Roman"/>
                <w:sz w:val="24"/>
                <w:szCs w:val="24"/>
              </w:rPr>
              <w:t xml:space="preserve"> част</w:t>
            </w:r>
            <w:r w:rsidR="0053257B">
              <w:rPr>
                <w:rFonts w:ascii="Times New Roman" w:hAnsi="Times New Roman"/>
                <w:sz w:val="24"/>
                <w:szCs w:val="24"/>
              </w:rPr>
              <w:t>ь кадастрового квартала 36:09:2200</w:t>
            </w:r>
            <w:r w:rsidR="003E7FE4">
              <w:rPr>
                <w:rFonts w:ascii="Times New Roman" w:hAnsi="Times New Roman"/>
                <w:sz w:val="24"/>
                <w:szCs w:val="24"/>
              </w:rPr>
              <w:t>0</w:t>
            </w:r>
            <w:r w:rsidR="0053257B">
              <w:rPr>
                <w:rFonts w:ascii="Times New Roman" w:hAnsi="Times New Roman"/>
                <w:sz w:val="24"/>
                <w:szCs w:val="24"/>
              </w:rPr>
              <w:t>30</w:t>
            </w:r>
          </w:p>
        </w:tc>
        <w:tc>
          <w:tcPr>
            <w:tcW w:w="1276" w:type="dxa"/>
          </w:tcPr>
          <w:p w:rsidR="008A2C22" w:rsidRPr="004D686A" w:rsidRDefault="0053257B" w:rsidP="00AE75B5">
            <w:pPr>
              <w:jc w:val="center"/>
              <w:rPr>
                <w:rFonts w:ascii="Times New Roman" w:hAnsi="Times New Roman"/>
                <w:sz w:val="24"/>
                <w:szCs w:val="24"/>
              </w:rPr>
            </w:pPr>
            <w:r>
              <w:rPr>
                <w:rFonts w:ascii="Times New Roman" w:hAnsi="Times New Roman"/>
                <w:sz w:val="24"/>
                <w:szCs w:val="24"/>
              </w:rPr>
              <w:lastRenderedPageBreak/>
              <w:t>21859</w:t>
            </w:r>
          </w:p>
        </w:tc>
        <w:tc>
          <w:tcPr>
            <w:tcW w:w="1559" w:type="dxa"/>
          </w:tcPr>
          <w:p w:rsidR="008A2C22" w:rsidRPr="004D686A" w:rsidRDefault="0053257B" w:rsidP="00457C4B">
            <w:pPr>
              <w:jc w:val="center"/>
              <w:rPr>
                <w:rFonts w:ascii="Times New Roman" w:hAnsi="Times New Roman"/>
                <w:sz w:val="24"/>
                <w:szCs w:val="24"/>
              </w:rPr>
            </w:pPr>
            <w:r>
              <w:rPr>
                <w:rFonts w:ascii="Times New Roman" w:hAnsi="Times New Roman"/>
                <w:sz w:val="24"/>
                <w:szCs w:val="24"/>
              </w:rPr>
              <w:t>5000</w:t>
            </w:r>
          </w:p>
        </w:tc>
        <w:tc>
          <w:tcPr>
            <w:tcW w:w="1276" w:type="dxa"/>
          </w:tcPr>
          <w:p w:rsidR="008A2C22" w:rsidRPr="004D686A" w:rsidRDefault="0053257B" w:rsidP="00AE75B5">
            <w:pPr>
              <w:jc w:val="center"/>
              <w:rPr>
                <w:rFonts w:ascii="Times New Roman" w:hAnsi="Times New Roman"/>
                <w:sz w:val="24"/>
                <w:szCs w:val="24"/>
              </w:rPr>
            </w:pPr>
            <w:r>
              <w:rPr>
                <w:rFonts w:ascii="Times New Roman" w:hAnsi="Times New Roman"/>
                <w:sz w:val="24"/>
                <w:szCs w:val="24"/>
              </w:rPr>
              <w:t>5000</w:t>
            </w:r>
          </w:p>
        </w:tc>
        <w:tc>
          <w:tcPr>
            <w:tcW w:w="991" w:type="dxa"/>
          </w:tcPr>
          <w:p w:rsidR="008A2C22" w:rsidRPr="00162AC7" w:rsidRDefault="0053257B" w:rsidP="00AE75B5">
            <w:pPr>
              <w:jc w:val="center"/>
              <w:rPr>
                <w:rFonts w:ascii="Times New Roman" w:hAnsi="Times New Roman"/>
                <w:sz w:val="24"/>
                <w:szCs w:val="24"/>
              </w:rPr>
            </w:pPr>
            <w:r>
              <w:rPr>
                <w:rFonts w:ascii="Times New Roman" w:hAnsi="Times New Roman"/>
                <w:sz w:val="24"/>
                <w:szCs w:val="24"/>
              </w:rPr>
              <w:t>150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53257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3257B">
        <w:rPr>
          <w:rFonts w:ascii="Times New Roman" w:hAnsi="Times New Roman"/>
          <w:sz w:val="24"/>
          <w:szCs w:val="24"/>
          <w:lang w:eastAsia="ru-RU"/>
        </w:rPr>
        <w:t>для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53257B">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2333C">
        <w:rPr>
          <w:rFonts w:ascii="Times New Roman" w:hAnsi="Times New Roman"/>
          <w:sz w:val="24"/>
          <w:szCs w:val="24"/>
          <w:lang w:eastAsia="ru-RU"/>
        </w:rPr>
        <w:t>19 – 28</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D78A0"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E42434" w:rsidRDefault="00E42434" w:rsidP="000D78A0">
      <w:pPr>
        <w:pStyle w:val="a3"/>
        <w:jc w:val="both"/>
      </w:pPr>
    </w:p>
    <w:p w:rsidR="000D78A0" w:rsidRPr="00FF4B8D" w:rsidRDefault="000D78A0" w:rsidP="000D78A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53257B" w:rsidRDefault="0053257B" w:rsidP="00FF4B8D">
      <w:pPr>
        <w:spacing w:before="100" w:beforeAutospacing="1" w:after="100" w:afterAutospacing="1" w:line="240" w:lineRule="auto"/>
        <w:rPr>
          <w:rFonts w:ascii="Times New Roman" w:hAnsi="Times New Roman"/>
          <w:sz w:val="24"/>
          <w:szCs w:val="24"/>
          <w:lang w:eastAsia="ru-RU"/>
        </w:rPr>
      </w:pPr>
    </w:p>
    <w:p w:rsidR="0053257B" w:rsidRDefault="0053257B"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0D78A0">
        <w:rPr>
          <w:rFonts w:ascii="Times New Roman" w:hAnsi="Times New Roman"/>
          <w:b/>
          <w:bCs/>
          <w:sz w:val="24"/>
          <w:szCs w:val="24"/>
          <w:lang w:eastAsia="ru-RU"/>
        </w:rPr>
        <w:t>2</w:t>
      </w:r>
      <w:r w:rsidR="0032333C">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proofErr w:type="gramStart"/>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0D78A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470D52">
        <w:rPr>
          <w:rFonts w:ascii="Times New Roman" w:hAnsi="Times New Roman"/>
          <w:sz w:val="24"/>
        </w:rPr>
        <w:t xml:space="preserve">          «____» _________  2020</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D78A0"/>
    <w:rsid w:val="000E2F0A"/>
    <w:rsid w:val="000F372B"/>
    <w:rsid w:val="00105896"/>
    <w:rsid w:val="00120F5F"/>
    <w:rsid w:val="00130F20"/>
    <w:rsid w:val="001319D4"/>
    <w:rsid w:val="00142A69"/>
    <w:rsid w:val="00162828"/>
    <w:rsid w:val="00162AC7"/>
    <w:rsid w:val="00181B69"/>
    <w:rsid w:val="00187CDD"/>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333C"/>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0D52"/>
    <w:rsid w:val="0047569F"/>
    <w:rsid w:val="00476698"/>
    <w:rsid w:val="00480CD0"/>
    <w:rsid w:val="00486A58"/>
    <w:rsid w:val="004B7075"/>
    <w:rsid w:val="004B7494"/>
    <w:rsid w:val="004C16A3"/>
    <w:rsid w:val="004D0591"/>
    <w:rsid w:val="004D1626"/>
    <w:rsid w:val="004D686A"/>
    <w:rsid w:val="004F4D43"/>
    <w:rsid w:val="005016EF"/>
    <w:rsid w:val="00502BE2"/>
    <w:rsid w:val="005051AD"/>
    <w:rsid w:val="00511B6D"/>
    <w:rsid w:val="00512BC8"/>
    <w:rsid w:val="0053257B"/>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4DAA"/>
    <w:rsid w:val="00766FEA"/>
    <w:rsid w:val="00775560"/>
    <w:rsid w:val="00777938"/>
    <w:rsid w:val="00780442"/>
    <w:rsid w:val="00794EAE"/>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508C"/>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74A45"/>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E32AB"/>
    <w:rsid w:val="00BF575D"/>
    <w:rsid w:val="00BF7AED"/>
    <w:rsid w:val="00C074C9"/>
    <w:rsid w:val="00C1596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3131"/>
    <w:rsid w:val="00E165EA"/>
    <w:rsid w:val="00E2700B"/>
    <w:rsid w:val="00E42434"/>
    <w:rsid w:val="00E451CD"/>
    <w:rsid w:val="00E60167"/>
    <w:rsid w:val="00E7288A"/>
    <w:rsid w:val="00E7303C"/>
    <w:rsid w:val="00E845A5"/>
    <w:rsid w:val="00E8625E"/>
    <w:rsid w:val="00E92E90"/>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14</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2017-04-11T03:54:00Z</cp:lastPrinted>
  <dcterms:created xsi:type="dcterms:W3CDTF">2017-07-06T08:40:00Z</dcterms:created>
  <dcterms:modified xsi:type="dcterms:W3CDTF">2019-12-04T12:37:00Z</dcterms:modified>
</cp:coreProperties>
</file>