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3F" w:rsidRPr="00407D3F" w:rsidRDefault="00407D3F" w:rsidP="00461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индексации страховых пенсий в январе 2020 года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2020 года  произведена индексация страховых пенсий с учётом стоимости одного пенсионного коэффициента в размере, равном 93 рубля</w:t>
      </w: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с 1 января 2020 года увеличивается размер фиксированной выплаты к страховой пенсии по старости с 5334 рублей 19 копеек до 5686 рублей 25 копеек.</w:t>
      </w:r>
    </w:p>
    <w:p w:rsidR="00407D3F" w:rsidRPr="00461B24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увеличения стоимости одного пенсионного коэффициента и  размера фиксированной выплаты к страховой пенсии по старости, с</w:t>
      </w:r>
      <w:r w:rsidR="008670D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траховые пенсии выросли</w:t>
      </w: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6,6%.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D3F" w:rsidRPr="00407D3F" w:rsidRDefault="00407D3F" w:rsidP="00461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выплате средств пенсионных накоплений умерших застрахованных лиц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законодательством установлено, что одним из видов выплат за счет средств пенсионных накоплений является выплата правопреемникам умерших застрахованных лиц.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пенсионных накоплений могут быть выплачены </w:t>
      </w:r>
      <w:proofErr w:type="gramStart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правопреемникам</w:t>
      </w:r>
      <w:proofErr w:type="gramEnd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смерть гражданина наступила:</w:t>
      </w:r>
    </w:p>
    <w:p w:rsidR="00407D3F" w:rsidRPr="00407D3F" w:rsidRDefault="00407D3F" w:rsidP="00461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назначения ему накопительной пенсии или до перерасчета ее размера с учетом дополнительных пенсионных накоплений (за исключением средств материнского (семейного) капитала, направленных на формирование будущей пенсии);</w:t>
      </w:r>
    </w:p>
    <w:p w:rsidR="00407D3F" w:rsidRPr="00407D3F" w:rsidRDefault="00407D3F" w:rsidP="00461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назначения ему срочной пенсионной выплаты. В этом случае правопреемники вправе получить невыплаченный остаток средств пенсионных накоплений (за исключением средств материнского (семейного) капитала);</w:t>
      </w:r>
    </w:p>
    <w:p w:rsidR="00407D3F" w:rsidRPr="00407D3F" w:rsidRDefault="00407D3F" w:rsidP="00461B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ТОГО КАК ГРАЖДАНИНУ была назначена, но еще не выплачена единовременная выплата средств пенсионных накоплений в связи с его смертью, ее могут получить члены семьи умершего пенсионера (при условии совместного с ним проживания), а также его нетрудоспособные иждивенцы </w:t>
      </w:r>
      <w:proofErr w:type="gramStart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(независимо от того, проживали они совместно с умершим или нет) в течение 4 месяцев со дня смерти гражданина.</w:t>
      </w:r>
      <w:proofErr w:type="gramEnd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основаниях;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ВАЖНО:</w:t>
      </w:r>
    </w:p>
    <w:p w:rsidR="00407D3F" w:rsidRPr="00407D3F" w:rsidRDefault="00407D3F" w:rsidP="00461B2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смерть гражданина наступила после назначения ему накопительной пенсии (бессрочно), средства его пенсионных накоплений правопреемникам не выплачиваются.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действующим законодательством правопреемниками умерших застрахованных лиц могут выступать:</w:t>
      </w:r>
    </w:p>
    <w:p w:rsidR="00407D3F" w:rsidRPr="00407D3F" w:rsidRDefault="00407D3F" w:rsidP="00461B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лица, указанные в заявлении о распределении средств пенсионных накоплений, которое при жизни гражданин оформил в территориальных органах Пенсионного фонда РФ;</w:t>
      </w:r>
    </w:p>
    <w:p w:rsidR="00407D3F" w:rsidRPr="00407D3F" w:rsidRDefault="00407D3F" w:rsidP="00461B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родственники первой очереди умершего застрахованного лица – дети, в том числе усыновленные, супруг (супруга) и родители, в том числе усыновители;</w:t>
      </w:r>
    </w:p>
    <w:p w:rsidR="00407D3F" w:rsidRPr="00407D3F" w:rsidRDefault="00407D3F" w:rsidP="00461B2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родственники второй очереди умершего застрахованного лица – братья, сестры, дедушки, бабушки и внуки.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Правопреемники-родственники первой и второй очереди умершего застрахованного лица могут обращаться за выплатой средств пенсионных накоплений только при отсутствии правопреемников по заявлению о распределении средств пенсионных накоплений.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Правопреемники-родственники второй очереди умершего застрахованного лица могут обращаться за выплатой средств пенсионных накоплений только при отсутствии родственников первой очереди.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за выплатой средств пенсионных накоплений правопреемникам необходимо к тому страховщику (Пенсионный фонд РФ или негосударственный пенсионный фонд), у которого формировались пенсионные накопления застрахованного лица на день его смерти.</w:t>
      </w:r>
    </w:p>
    <w:p w:rsid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установлен срок для обращения правопреемников за выплатой средств пенсионных накоплений – 6 месяцев со дня смерти застрахованного лица. Если по какой-либо причине правопреемник пропустил указанный срок обращения за выплатой, то он может восстановить его в судебном порядке.</w:t>
      </w:r>
    </w:p>
    <w:p w:rsidR="00461B24" w:rsidRPr="00407D3F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7D3F" w:rsidRPr="00407D3F" w:rsidRDefault="00407D3F" w:rsidP="00461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Страхователям! Прием формы СЗВ-СТАЖ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Информируем Вас о приближении отчетной кампании по представлению отчетности по персонифицированно</w:t>
      </w: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учету за отчетный период 2019</w:t>
      </w: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11 Федерального закона от 1 апреля 1996 г. № 27-ФЗ «Об индивидуальном (персонифицированном) учете в системе обязательного пенсионного страхования» страхователь </w:t>
      </w:r>
      <w:r w:rsidRPr="00407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ежегодно</w:t>
      </w: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07D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позднее 1 марта</w:t>
      </w: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года, следующего за отчетным годом, представляет о каждом работающем у него застрахованном лице сведения о страховом стаже. Комплект отчетности состоит </w:t>
      </w:r>
      <w:proofErr w:type="gramStart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формы СЗВ-СТАЖ «Сведения о страховом стаже застрахованных лиц»;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формы ОДВ-1 «Сведения по страхователю, передаваемые в ПФР для ведения индивидуального (персонифицированного) учета» (опись).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За отчетный период 201</w:t>
      </w:r>
      <w:r w:rsidR="00461B24" w:rsidRPr="00461B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9</w:t>
      </w:r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год страхователь обязан предоставить сведения о страховом стаже не позднее </w:t>
      </w:r>
      <w:r w:rsidR="00461B24" w:rsidRPr="00461B2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 марта 2020</w:t>
      </w:r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года, в т. ч. на всех работников, на которых представлена отчетность в органы ФНС</w:t>
      </w:r>
      <w:proofErr w:type="gramStart"/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.</w:t>
      </w:r>
      <w:proofErr w:type="gramEnd"/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Страхователь также обязан представить форму СЗВ-СТАЖ в следующих случаях: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 ликвидации организации</w:t>
      </w: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 - юридического лица (прекращении физическим лицом деятельности в качестве индивидуального предпринимателя - работодателя) - в течение одного месяца со дня утверждения промежуточного ликвидационного баланса (принятия решения о прекращении деятельности в качестве индивидуального предпринимателя),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</w:t>
      </w:r>
      <w:proofErr w:type="gramEnd"/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физическим лицом деятельности в качестве индивидуального предпринимателя);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 реорганизации организации</w:t>
      </w: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 - юридического лица - в течение одного месяца со дня утверждения передаточного акта (разделительного баланса), но не позднее дня представления в федеральный орган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юридического лица, создаваемого путем реорганизации.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 назначении пенсии работнику</w:t>
      </w: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 - сведения о застрахованном лице, подавшем заявление о назначении страховой пенсии или страховой и накопительной пенсий, страхователь представляет в течение трех календарных дней со дня обращения застрахованного лица к страхователю.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СЗВ-СТАЖ и ОДВ-1 заполняются в соответствии с Порядком, утвержденным Постановлением Правления ПФР от 11.01.2017 № 3п.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численность сотрудников в организации составляет 25 человек и более, отчетность необходимо представлять в электронном виде с усиленной квалифицированной электронной подписью.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 предусматривает ответственность за непредставление в ПФР страхователем в установленный срок либо представление им неполных и (или) недостоверных сведений. К такому страхователю применяются финансовые санкции в размере 500 рублей в отношении каждого застрахованного лица. За несоблюдение организацией или индивидуальным предпринимателем установленного порядка представления сведений в форме электронных документов ПФР сможет наложить штраф в сумме до 1 000 руб.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за непредставление сведений персонифицированного учета либо отказ в их представлении, а также за представление таких сведений в неполном объеме или искаженном виде предусмотрена административная ответственность в виде наложения штрафа на должностное лицо в размере от 300 до 500 рублей (статья 15.33.2 КоАП).</w:t>
      </w:r>
    </w:p>
    <w:p w:rsidR="00407D3F" w:rsidRPr="00407D3F" w:rsidRDefault="00407D3F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D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Программы для подготовки и проверки отчетности размещены в свободном доступе на сайте ПФР www.pfrf.ru в разделе «Страхователям» - «Работодателям» – «Бесплатные программы, формы и протоколы».</w:t>
      </w:r>
    </w:p>
    <w:p w:rsidR="00461B24" w:rsidRPr="00461B24" w:rsidRDefault="00461B24" w:rsidP="00461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Налоговый вычет могут получать участники Программы </w:t>
      </w:r>
      <w:proofErr w:type="gramStart"/>
      <w:r w:rsidRPr="00461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государственного</w:t>
      </w:r>
      <w:proofErr w:type="gramEnd"/>
      <w:r w:rsidRPr="00461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61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софинансирования</w:t>
      </w:r>
      <w:proofErr w:type="spellEnd"/>
      <w:r w:rsidRPr="00461B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пенсии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напоминает, что добровольные страховые взносы по Программе </w:t>
      </w:r>
      <w:proofErr w:type="gram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gram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пенсии не облагаются налогом на доходы физических лиц. На сумму перечисленных страховых взносов (до 12 000 рублей) работающие граждане могут ежегодно получать налоговые вычеты  в размере 13 процентных пунктов. Так, если в 2019 году  перечислено из собственных средств от 2 000 до 12 000 рублей  добровольных страховых взносов, то в 2020 году можно вернуть  от 260 до 1560 рублей.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Задекларировать доходы и получить вычет можно в течение трех лет. То есть, за 2019 год можно получить вычет  по выбору в  2020 - 2022 годах. Таким образом, в текущем году можно получить также налоговый вычет за 2017-2019 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Налоговым органом вычет предоставляется по окончании года, в котором произведены расходы на уплату дополнительных страховых взносов. Для этого налогоплательщиком в налоговую инспекцию по месту жительства подаются: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налоговая декларация (п. 2 ст. 219 НК РФ);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документы, подтверждающие фактические расходы по уплате дополнительных страховых взносов на накопительную пенсию (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 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. 5 п. 1 ст. 219 НК РФ).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самостоятельной уплате взносов такими документами являются копии платежных документов, подтверждающих уплату взносов через кредитную организацию.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удержания работодателем сумм добровольных взносов из заработной платы работника, подтверждающим документом является справка налогового агента об уплаченных суммах дополнительных страховых взносов. Форма справки налогового агента утверждена приказом ФНС от </w:t>
      </w:r>
      <w:r w:rsidR="00552D3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2.12.2008 № ММ-3-3/634а «О форме справки» и формируется во многих бухгалтерских прогр</w:t>
      </w:r>
      <w:bookmarkStart w:id="0" w:name="_GoBack"/>
      <w:bookmarkEnd w:id="0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аммах. </w:t>
      </w:r>
    </w:p>
    <w:p w:rsidR="00461B24" w:rsidRP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Ваше внимание, что вычет в сумме расходов на уплату дополнительных страховых взносов на накопительную пенсию может быть предоставлен как налоговым органом, так и работодателем по желанию налогоплательщика (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5 п. 1, 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219 НК РФ).</w:t>
      </w:r>
    </w:p>
    <w:p w:rsidR="00461B24" w:rsidRDefault="00461B24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для налогоплательщика получить данный вычет у своего работодателя появилась с 1 января 2013 г. Эти изменения внесены в ст. 219 НК РФ 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"б" п. 3 ст. 1 Федерального закона от 29.12.2012 N 279-ФЗ. Работодателем налогоплательщику вычет предоставляется до окончания года, если сотрудник обратится к нему с такой просьбой (ст. 216, 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219 НК РФ). Вычет в этом случае предоставляется только по суммам, которые работодатель удержал из выплат работнику и перечислил в Пенсионный фонд РФ (</w:t>
      </w:r>
      <w:proofErr w:type="spellStart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proofErr w:type="spellEnd"/>
      <w:r w:rsidRPr="00461B24">
        <w:rPr>
          <w:rFonts w:ascii="Times New Roman" w:eastAsia="Times New Roman" w:hAnsi="Times New Roman" w:cs="Times New Roman"/>
          <w:sz w:val="26"/>
          <w:szCs w:val="26"/>
          <w:lang w:eastAsia="ru-RU"/>
        </w:rPr>
        <w:t>. 2 п. 2 ст. 219 НК РФ, ст. ст. 3, 4 Закона N 56-ФЗ).</w:t>
      </w:r>
    </w:p>
    <w:p w:rsidR="008670D3" w:rsidRPr="00461B24" w:rsidRDefault="008670D3" w:rsidP="00461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330" w:rsidRPr="00BD4330" w:rsidRDefault="00BD4330" w:rsidP="00BD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Одной из форм поддержки семей, имеющих детей, является регулируемая Федеральным законом  от 29 декабря 2006 г. № 256-ФЗ "О дополнительных мерах государственной поддержки семей, имеющих детей"  программа материнского (семейного) капитала.</w:t>
      </w:r>
    </w:p>
    <w:p w:rsidR="00BD4330" w:rsidRPr="00BD4330" w:rsidRDefault="00BD4330" w:rsidP="00BD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2015 года размер материнского (семейного) капитала составлял 453 026 рублей, с 1 января 2020 года эта сумма  пересмотрена.</w:t>
      </w:r>
    </w:p>
    <w:p w:rsidR="00BD4330" w:rsidRPr="00BD4330" w:rsidRDefault="00BD4330" w:rsidP="00BD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 Федерального закона от 2 декабря 2019 г. № 380-ФЗ «О федеральном бюджете на 2020 год и на плановый период 2021 и 2022 годов» размер материнского (семейного) капитала в 2020 году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466 617 рублей.</w:t>
      </w:r>
    </w:p>
    <w:p w:rsidR="00BD4330" w:rsidRPr="00BD4330" w:rsidRDefault="00BD4330" w:rsidP="00BD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оставшейся после перечисления на основании заявления владельца сертификата о распоряжении части средств материнского (семейного) капитала пересматривается по состоянию на 1 января 2020 года с учетом установленного уровня инфляции 3,0 процента.</w:t>
      </w:r>
    </w:p>
    <w:p w:rsidR="00BD4330" w:rsidRPr="00BD4330" w:rsidRDefault="00BD4330" w:rsidP="00BD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законом  от 29 декабря 2006 г. № 256-ФЗ жёстко регламентирована возможность распоряжения материнским капиталом, в том числе ограничена статья расходов. Материнским капиталом можно воспользоваться </w:t>
      </w:r>
      <w:proofErr w:type="gramStart"/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330" w:rsidRPr="00BD4330" w:rsidRDefault="00BD4330" w:rsidP="00BD43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жилищных условий;</w:t>
      </w:r>
    </w:p>
    <w:p w:rsidR="00BD4330" w:rsidRPr="00BD4330" w:rsidRDefault="00BD4330" w:rsidP="00BD43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ребёнком образования;</w:t>
      </w:r>
    </w:p>
    <w:p w:rsidR="00BD4330" w:rsidRPr="00BD4330" w:rsidRDefault="00BD4330" w:rsidP="00BD43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накопительной части пенсии матери;</w:t>
      </w:r>
    </w:p>
    <w:p w:rsidR="00BD4330" w:rsidRPr="00BD4330" w:rsidRDefault="00BD4330" w:rsidP="00BD43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товаров и услуг для социальной адаптации и интеграции детей-инвалидов;</w:t>
      </w:r>
    </w:p>
    <w:p w:rsidR="00BD4330" w:rsidRPr="00BD4330" w:rsidRDefault="00BD4330" w:rsidP="00BD433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 ежемесячной выплаты в связи с рождением (усыновлением) второго ребенка, если ребёнок рождён (усыновлён) начиная с 1 января 2018 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</w:t>
      </w:r>
      <w:r w:rsidR="006B65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557C0" w:rsidRDefault="00A557C0" w:rsidP="00BD4330">
      <w:pPr>
        <w:jc w:val="both"/>
      </w:pPr>
    </w:p>
    <w:sectPr w:rsidR="00A5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FD6"/>
    <w:multiLevelType w:val="multilevel"/>
    <w:tmpl w:val="CA0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05A1B"/>
    <w:multiLevelType w:val="multilevel"/>
    <w:tmpl w:val="169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A3026"/>
    <w:multiLevelType w:val="multilevel"/>
    <w:tmpl w:val="A6B6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81B18"/>
    <w:multiLevelType w:val="multilevel"/>
    <w:tmpl w:val="3F3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72126"/>
    <w:multiLevelType w:val="multilevel"/>
    <w:tmpl w:val="C7A4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8"/>
    <w:rsid w:val="001978BF"/>
    <w:rsid w:val="00407D3F"/>
    <w:rsid w:val="00461B24"/>
    <w:rsid w:val="00552D35"/>
    <w:rsid w:val="006B6556"/>
    <w:rsid w:val="008670D3"/>
    <w:rsid w:val="00971FE8"/>
    <w:rsid w:val="00A557C0"/>
    <w:rsid w:val="00BD4330"/>
    <w:rsid w:val="00D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572">
                      <w:blockQuote w:val="1"/>
                      <w:marLeft w:val="0"/>
                      <w:marRight w:val="720"/>
                      <w:marTop w:val="3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2019-12-12T14:58:00Z</dcterms:created>
  <dcterms:modified xsi:type="dcterms:W3CDTF">2020-01-09T08:09:00Z</dcterms:modified>
</cp:coreProperties>
</file>