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r w:rsidR="003025D6">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D13F40">
        <w:rPr>
          <w:rFonts w:ascii="Times New Roman" w:hAnsi="Times New Roman"/>
          <w:sz w:val="24"/>
          <w:szCs w:val="24"/>
          <w:lang w:eastAsia="ru-RU"/>
        </w:rPr>
        <w:t xml:space="preserve">области </w:t>
      </w:r>
      <w:r w:rsidR="00696792" w:rsidRPr="00D13F40">
        <w:rPr>
          <w:rFonts w:ascii="Times New Roman" w:hAnsi="Times New Roman"/>
          <w:sz w:val="24"/>
          <w:szCs w:val="24"/>
          <w:lang w:eastAsia="ru-RU"/>
        </w:rPr>
        <w:t xml:space="preserve">от </w:t>
      </w:r>
      <w:r w:rsidR="00FC391C" w:rsidRPr="00D13F40">
        <w:rPr>
          <w:rFonts w:ascii="Times New Roman" w:hAnsi="Times New Roman"/>
          <w:sz w:val="24"/>
          <w:szCs w:val="24"/>
          <w:lang w:eastAsia="ru-RU"/>
        </w:rPr>
        <w:t>08.05</w:t>
      </w:r>
      <w:r w:rsidR="00425E6C" w:rsidRPr="00D13F40">
        <w:rPr>
          <w:rFonts w:ascii="Times New Roman" w:hAnsi="Times New Roman"/>
          <w:sz w:val="24"/>
          <w:szCs w:val="24"/>
          <w:lang w:eastAsia="ru-RU"/>
        </w:rPr>
        <w:t>.2018</w:t>
      </w:r>
      <w:r w:rsidR="008C27AA" w:rsidRPr="00D13F40">
        <w:rPr>
          <w:rFonts w:ascii="Times New Roman" w:hAnsi="Times New Roman"/>
          <w:sz w:val="24"/>
          <w:szCs w:val="24"/>
          <w:lang w:eastAsia="ru-RU"/>
        </w:rPr>
        <w:t>г.</w:t>
      </w:r>
      <w:r w:rsidR="00FC391C" w:rsidRPr="00D13F40">
        <w:rPr>
          <w:rFonts w:ascii="Times New Roman" w:hAnsi="Times New Roman"/>
          <w:sz w:val="24"/>
          <w:szCs w:val="24"/>
          <w:lang w:eastAsia="ru-RU"/>
        </w:rPr>
        <w:t xml:space="preserve"> №220</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явок – 21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8F17F7">
        <w:rPr>
          <w:rFonts w:ascii="Times New Roman" w:hAnsi="Times New Roman"/>
          <w:b/>
          <w:sz w:val="24"/>
          <w:szCs w:val="24"/>
          <w:lang w:eastAsia="ru-RU"/>
        </w:rPr>
        <w:t>емя окончания приема заявок – 19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F17F7">
        <w:rPr>
          <w:b/>
        </w:rPr>
        <w:t>20</w:t>
      </w:r>
      <w:r w:rsidR="00425E6C" w:rsidRPr="0024051A">
        <w:rPr>
          <w:b/>
        </w:rPr>
        <w:t xml:space="preserve"> </w:t>
      </w:r>
      <w:r w:rsidR="008F17F7">
        <w:rPr>
          <w:b/>
        </w:rPr>
        <w:t>июня</w:t>
      </w:r>
      <w:r w:rsidR="00A65442">
        <w:rPr>
          <w:b/>
        </w:rPr>
        <w:t xml:space="preserve">  2018</w:t>
      </w:r>
      <w:r w:rsidR="003025D6">
        <w:rPr>
          <w:b/>
        </w:rPr>
        <w:t xml:space="preserve"> 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025D6">
        <w:rPr>
          <w:b/>
        </w:rPr>
        <w:t>26</w:t>
      </w:r>
      <w:r w:rsidR="008F17F7">
        <w:rPr>
          <w:b/>
        </w:rPr>
        <w:t xml:space="preserve"> июня</w:t>
      </w:r>
      <w:r w:rsidR="00486A58" w:rsidRPr="0024051A">
        <w:rPr>
          <w:b/>
        </w:rPr>
        <w:t xml:space="preserve">  2018</w:t>
      </w:r>
      <w:r w:rsidR="00B93E6D" w:rsidRPr="0024051A">
        <w:rPr>
          <w:b/>
        </w:rPr>
        <w:t>г.</w:t>
      </w:r>
      <w:r w:rsidR="003025D6">
        <w:rPr>
          <w:b/>
        </w:rPr>
        <w:t xml:space="preserve"> в 13 часов 3</w:t>
      </w:r>
      <w:r w:rsidR="00647A5E">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F17F7">
        <w:rPr>
          <w:rFonts w:ascii="Times New Roman" w:hAnsi="Times New Roman"/>
          <w:sz w:val="24"/>
          <w:szCs w:val="24"/>
        </w:rPr>
        <w:t>абочие дни с 21.05</w:t>
      </w:r>
      <w:r w:rsidR="00486A58">
        <w:rPr>
          <w:rFonts w:ascii="Times New Roman" w:hAnsi="Times New Roman"/>
          <w:sz w:val="24"/>
          <w:szCs w:val="24"/>
        </w:rPr>
        <w:t>.2018</w:t>
      </w:r>
      <w:r w:rsidR="002B5CC1">
        <w:rPr>
          <w:rFonts w:ascii="Times New Roman" w:hAnsi="Times New Roman"/>
          <w:sz w:val="24"/>
          <w:szCs w:val="24"/>
        </w:rPr>
        <w:t xml:space="preserve"> г.</w:t>
      </w:r>
      <w:r w:rsidR="008F17F7">
        <w:rPr>
          <w:rFonts w:ascii="Times New Roman" w:hAnsi="Times New Roman"/>
          <w:sz w:val="24"/>
          <w:szCs w:val="24"/>
        </w:rPr>
        <w:t xml:space="preserve"> по 19.06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3025D6">
              <w:rPr>
                <w:rFonts w:ascii="Times New Roman" w:hAnsi="Times New Roman"/>
                <w:sz w:val="24"/>
                <w:szCs w:val="24"/>
              </w:rPr>
              <w:t>9:10</w:t>
            </w:r>
            <w:r w:rsidR="00647A5E">
              <w:rPr>
                <w:rFonts w:ascii="Times New Roman" w:hAnsi="Times New Roman"/>
                <w:sz w:val="24"/>
                <w:szCs w:val="24"/>
              </w:rPr>
              <w:t>00004</w:t>
            </w:r>
            <w:r w:rsidR="00486A58">
              <w:rPr>
                <w:rFonts w:ascii="Times New Roman" w:hAnsi="Times New Roman"/>
                <w:sz w:val="24"/>
                <w:szCs w:val="24"/>
              </w:rPr>
              <w:lastRenderedPageBreak/>
              <w:t>:</w:t>
            </w:r>
            <w:r w:rsidR="003025D6">
              <w:rPr>
                <w:rFonts w:ascii="Times New Roman" w:hAnsi="Times New Roman"/>
                <w:sz w:val="24"/>
                <w:szCs w:val="24"/>
              </w:rPr>
              <w:t>125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647A5E">
              <w:rPr>
                <w:rFonts w:ascii="Times New Roman" w:hAnsi="Times New Roman"/>
                <w:sz w:val="24"/>
                <w:szCs w:val="24"/>
              </w:rPr>
              <w:t xml:space="preserve">н, </w:t>
            </w:r>
            <w:proofErr w:type="gramStart"/>
            <w:r w:rsidR="00647A5E">
              <w:rPr>
                <w:rFonts w:ascii="Times New Roman" w:hAnsi="Times New Roman"/>
                <w:sz w:val="24"/>
                <w:szCs w:val="24"/>
              </w:rPr>
              <w:t>с</w:t>
            </w:r>
            <w:proofErr w:type="gramEnd"/>
            <w:r w:rsidR="00647A5E">
              <w:rPr>
                <w:rFonts w:ascii="Times New Roman" w:hAnsi="Times New Roman"/>
                <w:sz w:val="24"/>
                <w:szCs w:val="24"/>
              </w:rPr>
              <w:t>.</w:t>
            </w:r>
            <w:r w:rsidR="003025D6">
              <w:rPr>
                <w:rFonts w:ascii="Times New Roman" w:hAnsi="Times New Roman"/>
                <w:sz w:val="24"/>
                <w:szCs w:val="24"/>
              </w:rPr>
              <w:t xml:space="preserve"> </w:t>
            </w:r>
            <w:proofErr w:type="gramStart"/>
            <w:r w:rsidR="003025D6">
              <w:rPr>
                <w:rFonts w:ascii="Times New Roman" w:hAnsi="Times New Roman"/>
                <w:sz w:val="24"/>
                <w:szCs w:val="24"/>
              </w:rPr>
              <w:t>Васильевка</w:t>
            </w:r>
            <w:proofErr w:type="gramEnd"/>
            <w:r w:rsidR="003025D6">
              <w:rPr>
                <w:rFonts w:ascii="Times New Roman" w:hAnsi="Times New Roman"/>
                <w:sz w:val="24"/>
                <w:szCs w:val="24"/>
              </w:rPr>
              <w:t>, северо-восточная часть кадастрового квартала 36:09:1000004</w:t>
            </w:r>
          </w:p>
        </w:tc>
        <w:tc>
          <w:tcPr>
            <w:tcW w:w="1276" w:type="dxa"/>
          </w:tcPr>
          <w:p w:rsidR="008A2C22" w:rsidRPr="004D686A" w:rsidRDefault="003025D6" w:rsidP="00AE75B5">
            <w:pPr>
              <w:jc w:val="center"/>
              <w:rPr>
                <w:rFonts w:ascii="Times New Roman" w:hAnsi="Times New Roman"/>
                <w:sz w:val="24"/>
                <w:szCs w:val="24"/>
              </w:rPr>
            </w:pPr>
            <w:r>
              <w:rPr>
                <w:rFonts w:ascii="Times New Roman" w:hAnsi="Times New Roman"/>
                <w:sz w:val="24"/>
                <w:szCs w:val="24"/>
              </w:rPr>
              <w:lastRenderedPageBreak/>
              <w:t>88600</w:t>
            </w:r>
          </w:p>
        </w:tc>
        <w:tc>
          <w:tcPr>
            <w:tcW w:w="1559" w:type="dxa"/>
          </w:tcPr>
          <w:p w:rsidR="008A2C22" w:rsidRPr="004D686A" w:rsidRDefault="003025D6" w:rsidP="00457C4B">
            <w:pPr>
              <w:jc w:val="center"/>
              <w:rPr>
                <w:rFonts w:ascii="Times New Roman" w:hAnsi="Times New Roman"/>
                <w:sz w:val="24"/>
                <w:szCs w:val="24"/>
              </w:rPr>
            </w:pPr>
            <w:r>
              <w:rPr>
                <w:rFonts w:ascii="Times New Roman" w:hAnsi="Times New Roman"/>
                <w:sz w:val="24"/>
                <w:szCs w:val="24"/>
              </w:rPr>
              <w:t>15000</w:t>
            </w:r>
          </w:p>
        </w:tc>
        <w:tc>
          <w:tcPr>
            <w:tcW w:w="1276" w:type="dxa"/>
          </w:tcPr>
          <w:p w:rsidR="008A2C22" w:rsidRPr="004D686A" w:rsidRDefault="003025D6" w:rsidP="00AE75B5">
            <w:pPr>
              <w:jc w:val="center"/>
              <w:rPr>
                <w:rFonts w:ascii="Times New Roman" w:hAnsi="Times New Roman"/>
                <w:sz w:val="24"/>
                <w:szCs w:val="24"/>
              </w:rPr>
            </w:pPr>
            <w:r>
              <w:rPr>
                <w:rFonts w:ascii="Times New Roman" w:hAnsi="Times New Roman"/>
                <w:sz w:val="24"/>
                <w:szCs w:val="24"/>
              </w:rPr>
              <w:t>3000</w:t>
            </w:r>
          </w:p>
        </w:tc>
        <w:tc>
          <w:tcPr>
            <w:tcW w:w="991" w:type="dxa"/>
          </w:tcPr>
          <w:p w:rsidR="008A2C22" w:rsidRPr="00162AC7" w:rsidRDefault="003025D6" w:rsidP="00AE75B5">
            <w:pPr>
              <w:jc w:val="center"/>
              <w:rPr>
                <w:rFonts w:ascii="Times New Roman" w:hAnsi="Times New Roman"/>
                <w:sz w:val="24"/>
                <w:szCs w:val="24"/>
              </w:rPr>
            </w:pPr>
            <w:r>
              <w:rPr>
                <w:rFonts w:ascii="Times New Roman" w:hAnsi="Times New Roman"/>
                <w:sz w:val="24"/>
                <w:szCs w:val="24"/>
              </w:rPr>
              <w:t>450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025D6">
        <w:rPr>
          <w:rFonts w:ascii="Times New Roman" w:hAnsi="Times New Roman"/>
          <w:sz w:val="24"/>
          <w:szCs w:val="24"/>
          <w:lang w:eastAsia="ru-RU"/>
        </w:rPr>
        <w:t>луга, пастбища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F17F7">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025D6">
        <w:rPr>
          <w:rFonts w:ascii="Times New Roman" w:hAnsi="Times New Roman"/>
          <w:sz w:val="24"/>
          <w:szCs w:val="24"/>
        </w:rPr>
        <w:t>12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2018 – 11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r w:rsidR="003025D6">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3025D6">
        <w:rPr>
          <w:rFonts w:ascii="Times New Roman" w:hAnsi="Times New Roman"/>
          <w:sz w:val="24"/>
          <w:szCs w:val="24"/>
        </w:rPr>
        <w:t>36:09:1000004:125</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3025D6">
        <w:rPr>
          <w:rFonts w:ascii="Times New Roman" w:hAnsi="Times New Roman"/>
          <w:sz w:val="24"/>
          <w:szCs w:val="24"/>
        </w:rPr>
        <w:t xml:space="preserve">ский район, </w:t>
      </w:r>
      <w:r w:rsidR="00FC391C">
        <w:rPr>
          <w:rFonts w:ascii="Times New Roman" w:hAnsi="Times New Roman"/>
          <w:sz w:val="24"/>
          <w:szCs w:val="24"/>
        </w:rPr>
        <w:t xml:space="preserve">              </w:t>
      </w:r>
      <w:r w:rsidR="003025D6">
        <w:rPr>
          <w:rFonts w:ascii="Times New Roman" w:hAnsi="Times New Roman"/>
          <w:sz w:val="24"/>
          <w:szCs w:val="24"/>
        </w:rPr>
        <w:t>с. Васильевка, северо-восточная часть кадастрового квартала 36:09:1000004</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3025D6">
        <w:rPr>
          <w:rFonts w:ascii="Times New Roman" w:hAnsi="Times New Roman"/>
          <w:sz w:val="24"/>
          <w:szCs w:val="24"/>
        </w:rPr>
        <w:t>луга, пастбища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3025D6">
        <w:rPr>
          <w:rFonts w:ascii="Times New Roman" w:hAnsi="Times New Roman"/>
          <w:sz w:val="24"/>
          <w:szCs w:val="24"/>
        </w:rPr>
        <w:t>88600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3025D6">
        <w:rPr>
          <w:rFonts w:ascii="Times New Roman" w:hAnsi="Times New Roman"/>
          <w:sz w:val="24"/>
          <w:szCs w:val="24"/>
        </w:rPr>
        <w:t>ТМО   20613412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1B50FE" w:rsidRPr="00514E1E" w:rsidRDefault="006A5860" w:rsidP="001B50F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001B50FE">
        <w:rPr>
          <w:rFonts w:ascii="Times New Roman" w:eastAsia="Times New Roman" w:hAnsi="Times New Roman" w:cs="Arial"/>
          <w:sz w:val="24"/>
          <w:szCs w:val="24"/>
          <w:lang w:eastAsia="ru-RU"/>
        </w:rPr>
        <w:t xml:space="preserve">. </w:t>
      </w:r>
      <w:r w:rsidR="001B50FE" w:rsidRPr="00514E1E">
        <w:rPr>
          <w:rFonts w:ascii="Times New Roman" w:eastAsia="Times New Roman" w:hAnsi="Times New Roman" w:cs="Arial"/>
          <w:sz w:val="24"/>
          <w:szCs w:val="24"/>
          <w:lang w:eastAsia="ru-RU"/>
        </w:rPr>
        <w:t>Аре</w:t>
      </w:r>
      <w:r w:rsidR="001B50FE">
        <w:rPr>
          <w:rFonts w:ascii="Times New Roman" w:eastAsia="Times New Roman" w:hAnsi="Times New Roman" w:cs="Arial"/>
          <w:sz w:val="24"/>
          <w:szCs w:val="24"/>
          <w:lang w:eastAsia="ru-RU"/>
        </w:rPr>
        <w:t>ндную плату</w:t>
      </w:r>
      <w:r w:rsidR="001B50FE" w:rsidRPr="00514E1E">
        <w:rPr>
          <w:rFonts w:ascii="Times New Roman" w:eastAsia="Times New Roman" w:hAnsi="Times New Roman" w:cs="Arial"/>
          <w:sz w:val="24"/>
          <w:szCs w:val="24"/>
          <w:lang w:eastAsia="ru-RU"/>
        </w:rPr>
        <w:t xml:space="preserve"> Арендатор </w:t>
      </w:r>
      <w:r w:rsidR="001B50FE">
        <w:rPr>
          <w:rFonts w:ascii="Times New Roman" w:eastAsia="Times New Roman" w:hAnsi="Times New Roman" w:cs="Arial"/>
          <w:sz w:val="24"/>
          <w:szCs w:val="24"/>
          <w:lang w:eastAsia="ru-RU"/>
        </w:rPr>
        <w:t xml:space="preserve">за последующие годы Арендатор </w:t>
      </w:r>
      <w:r w:rsidR="001B50FE" w:rsidRPr="00514E1E">
        <w:rPr>
          <w:rFonts w:ascii="Times New Roman" w:eastAsia="Times New Roman" w:hAnsi="Times New Roman" w:cs="Arial"/>
          <w:sz w:val="24"/>
          <w:szCs w:val="24"/>
          <w:lang w:eastAsia="ru-RU"/>
        </w:rPr>
        <w:t>обязуется вносить равными частями</w:t>
      </w:r>
      <w:r w:rsidR="001B50FE">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007B65D8"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w:t>
      </w:r>
      <w:r w:rsidR="006A5860" w:rsidRPr="00514E1E">
        <w:rPr>
          <w:rFonts w:ascii="Times New Roman" w:eastAsia="Times New Roman" w:hAnsi="Times New Roman" w:cs="Arial"/>
          <w:sz w:val="24"/>
          <w:szCs w:val="24"/>
          <w:lang w:eastAsia="ru-RU"/>
        </w:rPr>
        <w:lastRenderedPageBreak/>
        <w:t>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125C"/>
    <w:rsid w:val="000B4693"/>
    <w:rsid w:val="000F372B"/>
    <w:rsid w:val="00130F20"/>
    <w:rsid w:val="001319D4"/>
    <w:rsid w:val="00142A69"/>
    <w:rsid w:val="00162828"/>
    <w:rsid w:val="00162AC7"/>
    <w:rsid w:val="00181B69"/>
    <w:rsid w:val="001B0A0E"/>
    <w:rsid w:val="001B50F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56BF2"/>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3F40"/>
    <w:rsid w:val="00D14263"/>
    <w:rsid w:val="00D26F50"/>
    <w:rsid w:val="00D4646C"/>
    <w:rsid w:val="00D569B7"/>
    <w:rsid w:val="00D749E7"/>
    <w:rsid w:val="00D9057B"/>
    <w:rsid w:val="00D91730"/>
    <w:rsid w:val="00D919F8"/>
    <w:rsid w:val="00D95E3C"/>
    <w:rsid w:val="00DA04DC"/>
    <w:rsid w:val="00DC5D7B"/>
    <w:rsid w:val="00DE19B2"/>
    <w:rsid w:val="00DE4C3F"/>
    <w:rsid w:val="00E165EA"/>
    <w:rsid w:val="00E451CD"/>
    <w:rsid w:val="00E60167"/>
    <w:rsid w:val="00E7288A"/>
    <w:rsid w:val="00E7303C"/>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62FF0"/>
    <w:rsid w:val="00F72A35"/>
    <w:rsid w:val="00F730A0"/>
    <w:rsid w:val="00F77216"/>
    <w:rsid w:val="00F8069E"/>
    <w:rsid w:val="00F90262"/>
    <w:rsid w:val="00F932F8"/>
    <w:rsid w:val="00F94FFF"/>
    <w:rsid w:val="00FA7500"/>
    <w:rsid w:val="00FB09F4"/>
    <w:rsid w:val="00FB7088"/>
    <w:rsid w:val="00FC391C"/>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2017-04-11T03:54:00Z</cp:lastPrinted>
  <dcterms:created xsi:type="dcterms:W3CDTF">2017-07-06T08:40:00Z</dcterms:created>
  <dcterms:modified xsi:type="dcterms:W3CDTF">2018-05-16T05:43:00Z</dcterms:modified>
</cp:coreProperties>
</file>