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0D78A0">
        <w:rPr>
          <w:rFonts w:ascii="Times New Roman" w:hAnsi="Times New Roman"/>
          <w:b/>
          <w:bCs/>
          <w:sz w:val="24"/>
          <w:szCs w:val="24"/>
          <w:lang w:eastAsia="ru-RU"/>
        </w:rPr>
        <w:t>26</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6F08AF">
        <w:rPr>
          <w:rFonts w:ascii="Times New Roman" w:hAnsi="Times New Roman"/>
          <w:sz w:val="24"/>
          <w:szCs w:val="24"/>
          <w:lang w:eastAsia="ru-RU"/>
        </w:rPr>
        <w:t>03.09</w:t>
      </w:r>
      <w:r w:rsidR="00877E82">
        <w:rPr>
          <w:rFonts w:ascii="Times New Roman" w:hAnsi="Times New Roman"/>
          <w:sz w:val="24"/>
          <w:szCs w:val="24"/>
          <w:lang w:eastAsia="ru-RU"/>
        </w:rPr>
        <w:t>.2019</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630F36">
        <w:rPr>
          <w:rFonts w:ascii="Times New Roman" w:hAnsi="Times New Roman"/>
          <w:sz w:val="24"/>
          <w:szCs w:val="24"/>
          <w:lang w:eastAsia="ru-RU"/>
        </w:rPr>
        <w:t>414</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885EEB">
        <w:rPr>
          <w:rFonts w:ascii="Times New Roman" w:hAnsi="Times New Roman"/>
          <w:b/>
          <w:sz w:val="24"/>
          <w:szCs w:val="24"/>
          <w:lang w:eastAsia="ru-RU"/>
        </w:rPr>
        <w:t>явок – 18</w:t>
      </w:r>
      <w:r w:rsidR="000D78A0">
        <w:rPr>
          <w:rFonts w:ascii="Times New Roman" w:hAnsi="Times New Roman"/>
          <w:b/>
          <w:sz w:val="24"/>
          <w:szCs w:val="24"/>
          <w:lang w:eastAsia="ru-RU"/>
        </w:rPr>
        <w:t xml:space="preserve"> ноября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885EEB">
        <w:rPr>
          <w:rFonts w:ascii="Times New Roman" w:hAnsi="Times New Roman"/>
          <w:b/>
          <w:sz w:val="24"/>
          <w:szCs w:val="24"/>
          <w:lang w:eastAsia="ru-RU"/>
        </w:rPr>
        <w:t>17</w:t>
      </w:r>
      <w:r w:rsidR="000D78A0">
        <w:rPr>
          <w:rFonts w:ascii="Times New Roman" w:hAnsi="Times New Roman"/>
          <w:b/>
          <w:sz w:val="24"/>
          <w:szCs w:val="24"/>
          <w:lang w:eastAsia="ru-RU"/>
        </w:rPr>
        <w:t xml:space="preserve"> декабря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885EEB">
        <w:rPr>
          <w:b/>
        </w:rPr>
        <w:t>18</w:t>
      </w:r>
      <w:r w:rsidR="00425E6C" w:rsidRPr="0024051A">
        <w:rPr>
          <w:b/>
        </w:rPr>
        <w:t xml:space="preserve"> </w:t>
      </w:r>
      <w:r w:rsidR="000D78A0">
        <w:rPr>
          <w:b/>
        </w:rPr>
        <w:t>декабря</w:t>
      </w:r>
      <w:r w:rsidR="00877E82">
        <w:rPr>
          <w:b/>
        </w:rPr>
        <w:t xml:space="preserve">  2019</w:t>
      </w:r>
      <w:r w:rsidR="000D78A0">
        <w:rPr>
          <w:b/>
        </w:rPr>
        <w:t>г  в  14</w:t>
      </w:r>
      <w:r w:rsidR="00937AB5">
        <w:rPr>
          <w:b/>
        </w:rPr>
        <w:t>:2</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885EEB">
        <w:rPr>
          <w:b/>
        </w:rPr>
        <w:t>24</w:t>
      </w:r>
      <w:r w:rsidR="000D78A0">
        <w:rPr>
          <w:b/>
        </w:rPr>
        <w:t xml:space="preserve"> декабря</w:t>
      </w:r>
      <w:r w:rsidR="00877E82">
        <w:rPr>
          <w:b/>
        </w:rPr>
        <w:t xml:space="preserve">  2019</w:t>
      </w:r>
      <w:r w:rsidR="00B93E6D" w:rsidRPr="0024051A">
        <w:rPr>
          <w:b/>
        </w:rPr>
        <w:t>г.</w:t>
      </w:r>
      <w:r w:rsidR="000D78A0">
        <w:rPr>
          <w:b/>
        </w:rPr>
        <w:t xml:space="preserve"> в 14 часов 0</w:t>
      </w:r>
      <w:r w:rsidR="0054624C">
        <w:rPr>
          <w:b/>
        </w:rPr>
        <w:t>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304B6E">
        <w:rPr>
          <w:rFonts w:ascii="Times New Roman" w:hAnsi="Times New Roman"/>
          <w:sz w:val="24"/>
          <w:szCs w:val="24"/>
        </w:rPr>
        <w:t>абочие дни с 18</w:t>
      </w:r>
      <w:r w:rsidR="000D78A0">
        <w:rPr>
          <w:rFonts w:ascii="Times New Roman" w:hAnsi="Times New Roman"/>
          <w:sz w:val="24"/>
          <w:szCs w:val="24"/>
        </w:rPr>
        <w:t>.11</w:t>
      </w:r>
      <w:r w:rsidR="00877E82">
        <w:rPr>
          <w:rFonts w:ascii="Times New Roman" w:hAnsi="Times New Roman"/>
          <w:sz w:val="24"/>
          <w:szCs w:val="24"/>
        </w:rPr>
        <w:t>.2019</w:t>
      </w:r>
      <w:r w:rsidR="002B5CC1">
        <w:rPr>
          <w:rFonts w:ascii="Times New Roman" w:hAnsi="Times New Roman"/>
          <w:sz w:val="24"/>
          <w:szCs w:val="24"/>
        </w:rPr>
        <w:t>г.</w:t>
      </w:r>
      <w:r w:rsidR="00304B6E">
        <w:rPr>
          <w:rFonts w:ascii="Times New Roman" w:hAnsi="Times New Roman"/>
          <w:sz w:val="24"/>
          <w:szCs w:val="24"/>
        </w:rPr>
        <w:t xml:space="preserve"> по 17</w:t>
      </w:r>
      <w:r w:rsidR="000D78A0">
        <w:rPr>
          <w:rFonts w:ascii="Times New Roman" w:hAnsi="Times New Roman"/>
          <w:sz w:val="24"/>
          <w:szCs w:val="24"/>
        </w:rPr>
        <w:t>.12</w:t>
      </w:r>
      <w:r w:rsidR="00877E82">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1A4B64">
              <w:rPr>
                <w:rFonts w:ascii="Times New Roman" w:hAnsi="Times New Roman"/>
                <w:sz w:val="24"/>
                <w:szCs w:val="24"/>
              </w:rPr>
              <w:t>0600001</w:t>
            </w:r>
            <w:r w:rsidR="00877E82">
              <w:rPr>
                <w:rFonts w:ascii="Times New Roman" w:hAnsi="Times New Roman"/>
                <w:sz w:val="24"/>
                <w:szCs w:val="24"/>
              </w:rPr>
              <w:lastRenderedPageBreak/>
              <w:t>:</w:t>
            </w:r>
            <w:r w:rsidR="00E2700B">
              <w:rPr>
                <w:rFonts w:ascii="Times New Roman" w:hAnsi="Times New Roman"/>
                <w:sz w:val="24"/>
                <w:szCs w:val="24"/>
              </w:rPr>
              <w:t>1</w:t>
            </w:r>
            <w:r w:rsidR="001A4B64">
              <w:rPr>
                <w:rFonts w:ascii="Times New Roman" w:hAnsi="Times New Roman"/>
                <w:sz w:val="24"/>
                <w:szCs w:val="24"/>
              </w:rPr>
              <w:t>1</w:t>
            </w:r>
            <w:r w:rsidR="007D450F">
              <w:rPr>
                <w:rFonts w:ascii="Times New Roman" w:hAnsi="Times New Roman"/>
                <w:sz w:val="24"/>
                <w:szCs w:val="24"/>
              </w:rPr>
              <w:t>5</w:t>
            </w:r>
          </w:p>
        </w:tc>
        <w:tc>
          <w:tcPr>
            <w:tcW w:w="1985" w:type="dxa"/>
          </w:tcPr>
          <w:p w:rsidR="008A2C22" w:rsidRPr="004D686A" w:rsidRDefault="00696792" w:rsidP="00E2700B">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16A3">
              <w:rPr>
                <w:rFonts w:ascii="Times New Roman" w:hAnsi="Times New Roman"/>
                <w:sz w:val="24"/>
                <w:szCs w:val="24"/>
              </w:rPr>
              <w:t xml:space="preserve">, </w:t>
            </w:r>
            <w:r w:rsidR="001A4B64">
              <w:rPr>
                <w:rFonts w:ascii="Times New Roman" w:hAnsi="Times New Roman"/>
                <w:sz w:val="24"/>
                <w:szCs w:val="24"/>
              </w:rPr>
              <w:t>Алексеевское с</w:t>
            </w:r>
            <w:r w:rsidR="007D450F">
              <w:rPr>
                <w:rFonts w:ascii="Times New Roman" w:hAnsi="Times New Roman"/>
                <w:sz w:val="24"/>
                <w:szCs w:val="24"/>
              </w:rPr>
              <w:t>ельское поселение, северная</w:t>
            </w:r>
            <w:r w:rsidR="00877E82">
              <w:rPr>
                <w:rFonts w:ascii="Times New Roman" w:hAnsi="Times New Roman"/>
                <w:sz w:val="24"/>
                <w:szCs w:val="24"/>
              </w:rPr>
              <w:t xml:space="preserve"> част</w:t>
            </w:r>
            <w:r w:rsidR="001A4B64">
              <w:rPr>
                <w:rFonts w:ascii="Times New Roman" w:hAnsi="Times New Roman"/>
                <w:sz w:val="24"/>
                <w:szCs w:val="24"/>
              </w:rPr>
              <w:t>ь кадастрового квартала 36:09:0600</w:t>
            </w:r>
            <w:r w:rsidR="003E7FE4">
              <w:rPr>
                <w:rFonts w:ascii="Times New Roman" w:hAnsi="Times New Roman"/>
                <w:sz w:val="24"/>
                <w:szCs w:val="24"/>
              </w:rPr>
              <w:t>00</w:t>
            </w:r>
            <w:r w:rsidR="001A4B64">
              <w:rPr>
                <w:rFonts w:ascii="Times New Roman" w:hAnsi="Times New Roman"/>
                <w:sz w:val="24"/>
                <w:szCs w:val="24"/>
              </w:rPr>
              <w:t>1</w:t>
            </w:r>
          </w:p>
        </w:tc>
        <w:tc>
          <w:tcPr>
            <w:tcW w:w="1276" w:type="dxa"/>
          </w:tcPr>
          <w:p w:rsidR="008A2C22" w:rsidRPr="004D686A" w:rsidRDefault="00630F36" w:rsidP="00AE75B5">
            <w:pPr>
              <w:jc w:val="center"/>
              <w:rPr>
                <w:rFonts w:ascii="Times New Roman" w:hAnsi="Times New Roman"/>
                <w:sz w:val="24"/>
                <w:szCs w:val="24"/>
              </w:rPr>
            </w:pPr>
            <w:r>
              <w:rPr>
                <w:rFonts w:ascii="Times New Roman" w:hAnsi="Times New Roman"/>
                <w:sz w:val="24"/>
                <w:szCs w:val="24"/>
              </w:rPr>
              <w:lastRenderedPageBreak/>
              <w:t>224729</w:t>
            </w:r>
          </w:p>
        </w:tc>
        <w:tc>
          <w:tcPr>
            <w:tcW w:w="1559" w:type="dxa"/>
          </w:tcPr>
          <w:p w:rsidR="008A2C22" w:rsidRPr="004D686A" w:rsidRDefault="00630F36" w:rsidP="00457C4B">
            <w:pPr>
              <w:jc w:val="center"/>
              <w:rPr>
                <w:rFonts w:ascii="Times New Roman" w:hAnsi="Times New Roman"/>
                <w:sz w:val="24"/>
                <w:szCs w:val="24"/>
              </w:rPr>
            </w:pPr>
            <w:r>
              <w:rPr>
                <w:rFonts w:ascii="Times New Roman" w:hAnsi="Times New Roman"/>
                <w:sz w:val="24"/>
                <w:szCs w:val="24"/>
              </w:rPr>
              <w:t>13000</w:t>
            </w:r>
          </w:p>
        </w:tc>
        <w:tc>
          <w:tcPr>
            <w:tcW w:w="1276" w:type="dxa"/>
          </w:tcPr>
          <w:p w:rsidR="008A2C22" w:rsidRPr="004D686A" w:rsidRDefault="00630F36" w:rsidP="00AE75B5">
            <w:pPr>
              <w:jc w:val="center"/>
              <w:rPr>
                <w:rFonts w:ascii="Times New Roman" w:hAnsi="Times New Roman"/>
                <w:sz w:val="24"/>
                <w:szCs w:val="24"/>
              </w:rPr>
            </w:pPr>
            <w:r>
              <w:rPr>
                <w:rFonts w:ascii="Times New Roman" w:hAnsi="Times New Roman"/>
                <w:sz w:val="24"/>
                <w:szCs w:val="24"/>
              </w:rPr>
              <w:t>2600</w:t>
            </w:r>
          </w:p>
        </w:tc>
        <w:tc>
          <w:tcPr>
            <w:tcW w:w="991" w:type="dxa"/>
          </w:tcPr>
          <w:p w:rsidR="008A2C22" w:rsidRPr="00162AC7" w:rsidRDefault="00630F36" w:rsidP="00AE75B5">
            <w:pPr>
              <w:jc w:val="center"/>
              <w:rPr>
                <w:rFonts w:ascii="Times New Roman" w:hAnsi="Times New Roman"/>
                <w:sz w:val="24"/>
                <w:szCs w:val="24"/>
              </w:rPr>
            </w:pPr>
            <w:r>
              <w:rPr>
                <w:rFonts w:ascii="Times New Roman" w:hAnsi="Times New Roman"/>
                <w:sz w:val="24"/>
                <w:szCs w:val="24"/>
              </w:rPr>
              <w:t>390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1A4B64">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1A4B64">
        <w:rPr>
          <w:rFonts w:ascii="Times New Roman" w:hAnsi="Times New Roman"/>
          <w:sz w:val="24"/>
          <w:szCs w:val="24"/>
          <w:lang w:eastAsia="ru-RU"/>
        </w:rPr>
        <w:t>сельскохозяйственное использование</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E2700B" w:rsidRPr="00FF4B8D" w:rsidRDefault="00E2700B"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1A4B64">
        <w:rPr>
          <w:rFonts w:ascii="Times New Roman" w:hAnsi="Times New Roman"/>
          <w:sz w:val="24"/>
          <w:szCs w:val="24"/>
        </w:rPr>
        <w:t>04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0D78A0">
        <w:rPr>
          <w:rFonts w:ascii="Times New Roman" w:hAnsi="Times New Roman"/>
          <w:sz w:val="24"/>
          <w:szCs w:val="24"/>
          <w:lang w:eastAsia="ru-RU"/>
        </w:rPr>
        <w:t>19 – 26</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lastRenderedPageBreak/>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w:t>
      </w:r>
      <w:proofErr w:type="gramStart"/>
      <w:r>
        <w:t>позднее</w:t>
      </w:r>
      <w:proofErr w:type="gramEnd"/>
      <w:r>
        <w:t xml:space="preserve">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Аукцион проводится в день, время и в месте, указанном в настоящем извещении. При проведен</w:t>
      </w:r>
      <w:proofErr w:type="gramStart"/>
      <w:r>
        <w:t>ии ау</w:t>
      </w:r>
      <w:proofErr w:type="gramEnd"/>
      <w:r>
        <w:t xml:space="preserve">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lastRenderedPageBreak/>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proofErr w:type="gramStart"/>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roofErr w:type="gramEnd"/>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0D78A0"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 </w:t>
      </w:r>
    </w:p>
    <w:p w:rsidR="000D78A0" w:rsidRPr="00FF4B8D" w:rsidRDefault="000D78A0" w:rsidP="000D78A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lastRenderedPageBreak/>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с лицом, соответствующим указанным в извещении о проведен</w:t>
      </w:r>
      <w:proofErr w:type="gramStart"/>
      <w:r>
        <w:t>ии ау</w:t>
      </w:r>
      <w:proofErr w:type="gramEnd"/>
      <w: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E7FE4" w:rsidRDefault="003E7FE4"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0D78A0">
        <w:rPr>
          <w:rFonts w:ascii="Times New Roman" w:hAnsi="Times New Roman"/>
          <w:b/>
          <w:bCs/>
          <w:sz w:val="24"/>
          <w:szCs w:val="24"/>
          <w:lang w:eastAsia="ru-RU"/>
        </w:rPr>
        <w:t>26</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0D78A0" w:rsidRPr="00C328D6" w:rsidRDefault="008A2C22" w:rsidP="000D78A0">
      <w:pPr>
        <w:pStyle w:val="a5"/>
        <w:spacing w:before="60"/>
        <w:jc w:val="both"/>
        <w:rPr>
          <w:rFonts w:ascii="Times New Roman" w:hAnsi="Times New Roman"/>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0D78A0" w:rsidRPr="00C328D6">
        <w:rPr>
          <w:rFonts w:ascii="Times New Roman" w:hAnsi="Times New Roman"/>
          <w:sz w:val="24"/>
          <w:szCs w:val="24"/>
        </w:rPr>
        <w:t xml:space="preserve">        </w:t>
      </w:r>
      <w:proofErr w:type="gramStart"/>
      <w:r w:rsidR="000D78A0"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000D78A0" w:rsidRPr="00C328D6">
        <w:rPr>
          <w:sz w:val="24"/>
          <w:szCs w:val="24"/>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806CA0">
        <w:rPr>
          <w:rFonts w:ascii="Times New Roman" w:hAnsi="Times New Roman"/>
          <w:sz w:val="24"/>
        </w:rPr>
        <w:t xml:space="preserve">          «____» _________  2019</w:t>
      </w:r>
      <w:r w:rsidRPr="009E7257">
        <w:rPr>
          <w:rFonts w:ascii="Times New Roman" w:hAnsi="Times New Roman"/>
          <w:sz w:val="24"/>
        </w:rPr>
        <w:t>г.</w:t>
      </w:r>
    </w:p>
    <w:p w:rsidR="008A2C22" w:rsidRDefault="008A2C22"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r w:rsidR="004D1626">
        <w:t xml:space="preserve"> </w:t>
      </w:r>
      <w:r w:rsidR="003E7FE4" w:rsidRPr="006417BD">
        <w:t>ИНН 3609003130, юридический адрес: Воронежская область, Грибановский район</w:t>
      </w:r>
      <w:r w:rsidR="003E7FE4" w:rsidRPr="008C26E8">
        <w:t xml:space="preserve">, пгт. </w:t>
      </w:r>
      <w:proofErr w:type="gramStart"/>
      <w:r w:rsidR="003E7FE4"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DE19B2">
        <w:rPr>
          <w:rFonts w:ascii="Times New Roman" w:hAnsi="Times New Roman"/>
          <w:sz w:val="24"/>
          <w:szCs w:val="24"/>
        </w:rPr>
        <w:t xml:space="preserve"> </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08130C" w:rsidRDefault="0008130C" w:rsidP="0008130C">
      <w:pPr>
        <w:pStyle w:val="a3"/>
        <w:spacing w:before="0" w:beforeAutospacing="0" w:after="0" w:afterAutospacing="0"/>
      </w:pPr>
      <w:r w:rsidRPr="005734D0">
        <w:rPr>
          <w:rFonts w:cs="Arial"/>
          <w:b/>
        </w:rPr>
        <w:t xml:space="preserve">              </w:t>
      </w:r>
      <w:r w:rsidR="00C661AE" w:rsidRPr="005734D0">
        <w:rPr>
          <w:rFonts w:cs="Arial"/>
          <w:b/>
        </w:rPr>
        <w:t>1.2.</w:t>
      </w:r>
      <w:r w:rsidRPr="005734D0">
        <w:t xml:space="preserve"> Участок</w:t>
      </w:r>
      <w:r>
        <w:t xml:space="preserve"> из состава земель ____________________________________________               </w:t>
      </w:r>
    </w:p>
    <w:p w:rsidR="0008130C" w:rsidRPr="0008130C" w:rsidRDefault="0008130C" w:rsidP="0008130C">
      <w:pPr>
        <w:pStyle w:val="a3"/>
        <w:spacing w:before="0" w:beforeAutospacing="0" w:after="0" w:afterAutospacing="0"/>
        <w:rPr>
          <w:vertAlign w:val="superscript"/>
        </w:rPr>
      </w:pPr>
      <w:r>
        <w:t xml:space="preserve">                                                                              </w:t>
      </w:r>
      <w:r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08130C" w:rsidP="0008130C">
      <w:pPr>
        <w:pStyle w:val="a3"/>
        <w:spacing w:before="0" w:beforeAutospacing="0" w:after="0" w:afterAutospacing="0"/>
      </w:pPr>
      <w:r>
        <w:t xml:space="preserve">         </w:t>
      </w:r>
      <w:r w:rsidR="00C661AE">
        <w:rPr>
          <w:rFonts w:cs="Arial"/>
          <w:b/>
        </w:rPr>
        <w:t>1.3</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w:t>
      </w:r>
      <w:r w:rsidR="0008130C">
        <w:rPr>
          <w:rFonts w:ascii="Times New Roman" w:hAnsi="Times New Roman" w:cs="Arial"/>
          <w:sz w:val="24"/>
          <w:szCs w:val="24"/>
          <w:lang w:eastAsia="ru-RU"/>
        </w:rPr>
        <w:t xml:space="preserve"> </w:t>
      </w:r>
      <w:r>
        <w:rPr>
          <w:rFonts w:ascii="Times New Roman" w:hAnsi="Times New Roman" w:cs="Arial"/>
          <w:sz w:val="24"/>
          <w:szCs w:val="24"/>
          <w:lang w:eastAsia="ru-RU"/>
        </w:rPr>
        <w:t>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proofErr w:type="gramStart"/>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B435EA">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sidR="00B435EA">
        <w:rPr>
          <w:rFonts w:ascii="Times New Roman" w:hAnsi="Times New Roman" w:cs="Arial"/>
          <w:bCs/>
          <w:spacing w:val="-3"/>
          <w:sz w:val="24"/>
          <w:szCs w:val="24"/>
          <w:lang w:eastAsia="ru-RU"/>
        </w:rPr>
        <w:t xml:space="preserve"> </w:t>
      </w:r>
      <w:r>
        <w:rPr>
          <w:rFonts w:ascii="Times New Roman" w:hAnsi="Times New Roman" w:cs="Arial"/>
          <w:bCs/>
          <w:spacing w:val="-3"/>
          <w:sz w:val="24"/>
          <w:szCs w:val="24"/>
          <w:lang w:eastAsia="ru-RU"/>
        </w:rPr>
        <w:t xml:space="preserve">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00B435EA">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w:t>
      </w:r>
      <w:r w:rsidR="004D1626">
        <w:rPr>
          <w:rFonts w:ascii="Times New Roman" w:hAnsi="Times New Roman" w:cs="Arial"/>
          <w:sz w:val="24"/>
          <w:szCs w:val="24"/>
          <w:lang w:eastAsia="ru-RU"/>
        </w:rPr>
        <w:t xml:space="preserve"> </w:t>
      </w:r>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sidR="00B435EA">
        <w:rPr>
          <w:rFonts w:ascii="Times New Roman" w:hAnsi="Times New Roman" w:cs="Arial"/>
          <w:sz w:val="24"/>
          <w:szCs w:val="24"/>
          <w:lang w:eastAsia="ru-RU"/>
        </w:rPr>
        <w:t xml:space="preserve"> </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00B435EA">
        <w:rPr>
          <w:rFonts w:ascii="Times New Roman" w:hAnsi="Times New Roman" w:cs="Arial"/>
          <w:spacing w:val="-2"/>
          <w:sz w:val="24"/>
          <w:szCs w:val="24"/>
          <w:lang w:eastAsia="ru-RU"/>
        </w:rPr>
        <w:t xml:space="preserve">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B435E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3802E0">
        <w:rPr>
          <w:rFonts w:ascii="Times New Roman" w:hAnsi="Times New Roman"/>
          <w:b/>
          <w:bCs/>
          <w:sz w:val="24"/>
          <w:szCs w:val="24"/>
        </w:rPr>
        <w:t>1</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sidR="00B435EA">
        <w:rPr>
          <w:rFonts w:ascii="Times New Roman" w:hAnsi="Times New Roman"/>
          <w:sz w:val="24"/>
          <w:szCs w:val="24"/>
          <w:lang w:eastAsia="ru-RU"/>
        </w:rPr>
        <w:t xml:space="preserve"> </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E8625E">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Ind w:w="-13" w:type="dxa"/>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w:t>
            </w:r>
            <w:proofErr w:type="gramStart"/>
            <w:r w:rsidRPr="00437243">
              <w:rPr>
                <w:rFonts w:ascii="Times New Roman" w:hAnsi="Times New Roman"/>
                <w:bCs/>
                <w:kern w:val="2"/>
                <w:sz w:val="24"/>
                <w:szCs w:val="24"/>
                <w:lang w:eastAsia="ar-SA"/>
              </w:rPr>
              <w:t>Воронежской</w:t>
            </w:r>
            <w:proofErr w:type="gramEnd"/>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bookmarkStart w:id="0" w:name="_GoBack"/>
            <w:bookmarkEnd w:id="0"/>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130C"/>
    <w:rsid w:val="000824E6"/>
    <w:rsid w:val="0009125C"/>
    <w:rsid w:val="000B4693"/>
    <w:rsid w:val="000D78A0"/>
    <w:rsid w:val="000E2F0A"/>
    <w:rsid w:val="000F372B"/>
    <w:rsid w:val="00105896"/>
    <w:rsid w:val="00120F5F"/>
    <w:rsid w:val="00130F20"/>
    <w:rsid w:val="001319D4"/>
    <w:rsid w:val="00142A69"/>
    <w:rsid w:val="00162828"/>
    <w:rsid w:val="00162AC7"/>
    <w:rsid w:val="00181B69"/>
    <w:rsid w:val="001A4B64"/>
    <w:rsid w:val="001B0A0E"/>
    <w:rsid w:val="001D041C"/>
    <w:rsid w:val="001D0A2B"/>
    <w:rsid w:val="001D43E6"/>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27327"/>
    <w:rsid w:val="00327F71"/>
    <w:rsid w:val="00332E54"/>
    <w:rsid w:val="00353F5C"/>
    <w:rsid w:val="00360E2F"/>
    <w:rsid w:val="00361624"/>
    <w:rsid w:val="00372E79"/>
    <w:rsid w:val="003802E0"/>
    <w:rsid w:val="003923BA"/>
    <w:rsid w:val="003948A6"/>
    <w:rsid w:val="003B5C0A"/>
    <w:rsid w:val="003D3CF8"/>
    <w:rsid w:val="003D694C"/>
    <w:rsid w:val="003E2DBB"/>
    <w:rsid w:val="003E72C5"/>
    <w:rsid w:val="003E7FE4"/>
    <w:rsid w:val="00405A70"/>
    <w:rsid w:val="00411581"/>
    <w:rsid w:val="00425E6C"/>
    <w:rsid w:val="00427A11"/>
    <w:rsid w:val="00434F46"/>
    <w:rsid w:val="0043569B"/>
    <w:rsid w:val="00447A7A"/>
    <w:rsid w:val="00457C4B"/>
    <w:rsid w:val="0047569F"/>
    <w:rsid w:val="00476698"/>
    <w:rsid w:val="00480CD0"/>
    <w:rsid w:val="00486A58"/>
    <w:rsid w:val="004B7075"/>
    <w:rsid w:val="004B7494"/>
    <w:rsid w:val="004C16A3"/>
    <w:rsid w:val="004D0591"/>
    <w:rsid w:val="004D1626"/>
    <w:rsid w:val="004D686A"/>
    <w:rsid w:val="004F4D43"/>
    <w:rsid w:val="00502BE2"/>
    <w:rsid w:val="005051AD"/>
    <w:rsid w:val="00511B6D"/>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7A28"/>
    <w:rsid w:val="006205E3"/>
    <w:rsid w:val="00625C21"/>
    <w:rsid w:val="00630F36"/>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D450F"/>
    <w:rsid w:val="007E1D47"/>
    <w:rsid w:val="007E2DCD"/>
    <w:rsid w:val="007E43BB"/>
    <w:rsid w:val="007F4112"/>
    <w:rsid w:val="00801D01"/>
    <w:rsid w:val="00806CA0"/>
    <w:rsid w:val="00831C0D"/>
    <w:rsid w:val="00845606"/>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7EF3"/>
    <w:rsid w:val="008F0C18"/>
    <w:rsid w:val="008F17F7"/>
    <w:rsid w:val="008F73BE"/>
    <w:rsid w:val="008F7616"/>
    <w:rsid w:val="00930714"/>
    <w:rsid w:val="00937AB5"/>
    <w:rsid w:val="00955A73"/>
    <w:rsid w:val="009601FD"/>
    <w:rsid w:val="00980B3E"/>
    <w:rsid w:val="0099224F"/>
    <w:rsid w:val="00993011"/>
    <w:rsid w:val="0099331D"/>
    <w:rsid w:val="009A2150"/>
    <w:rsid w:val="009B142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322DA"/>
    <w:rsid w:val="00B36FC1"/>
    <w:rsid w:val="00B435EA"/>
    <w:rsid w:val="00B54D13"/>
    <w:rsid w:val="00B6530F"/>
    <w:rsid w:val="00B71D9E"/>
    <w:rsid w:val="00B773AE"/>
    <w:rsid w:val="00B804EE"/>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B0A2D"/>
    <w:rsid w:val="00DC5D7B"/>
    <w:rsid w:val="00DE19B2"/>
    <w:rsid w:val="00DE4C3F"/>
    <w:rsid w:val="00DE7A39"/>
    <w:rsid w:val="00E05726"/>
    <w:rsid w:val="00E13131"/>
    <w:rsid w:val="00E165EA"/>
    <w:rsid w:val="00E2700B"/>
    <w:rsid w:val="00E451CD"/>
    <w:rsid w:val="00E60167"/>
    <w:rsid w:val="00E7288A"/>
    <w:rsid w:val="00E7303C"/>
    <w:rsid w:val="00E845A5"/>
    <w:rsid w:val="00E8625E"/>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037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14</Pages>
  <Words>5288</Words>
  <Characters>30147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70</cp:revision>
  <cp:lastPrinted>2017-04-11T03:54:00Z</cp:lastPrinted>
  <dcterms:created xsi:type="dcterms:W3CDTF">2017-07-06T08:40:00Z</dcterms:created>
  <dcterms:modified xsi:type="dcterms:W3CDTF">2019-11-15T10:28:00Z</dcterms:modified>
</cp:coreProperties>
</file>