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86" w:rsidRPr="00EB1B86" w:rsidRDefault="00EB1B86" w:rsidP="00EB1B86">
      <w:pPr>
        <w:spacing w:after="0" w:line="240" w:lineRule="auto"/>
        <w:jc w:val="both"/>
        <w:rPr>
          <w:rFonts w:ascii="Times New Roman" w:eastAsia="Times New Roman" w:hAnsi="Times New Roman" w:cs="Times New Roman"/>
          <w:b/>
          <w:sz w:val="24"/>
          <w:szCs w:val="24"/>
          <w:lang w:eastAsia="ru-RU"/>
        </w:rPr>
      </w:pPr>
      <w:r w:rsidRPr="00EB1B86">
        <w:rPr>
          <w:rFonts w:ascii="Times New Roman" w:eastAsia="Times New Roman" w:hAnsi="Times New Roman" w:cs="Times New Roman"/>
          <w:b/>
          <w:sz w:val="24"/>
          <w:szCs w:val="24"/>
          <w:lang w:eastAsia="ru-RU"/>
        </w:rPr>
        <w:t>Антон Дроздов: Нужно дальше работать с гражданами, предупреждать их о потенциальных потерях при досрочной смене страховщика</w:t>
      </w:r>
    </w:p>
    <w:p w:rsidR="00EB1B86" w:rsidRPr="00EB1B86" w:rsidRDefault="00EB1B86" w:rsidP="00EB1B86">
      <w:pPr>
        <w:spacing w:after="0"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color w:val="000000"/>
          <w:sz w:val="24"/>
          <w:szCs w:val="24"/>
          <w:lang w:eastAsia="ru-RU"/>
        </w:rPr>
        <w:t xml:space="preserve">Новости ПФР </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Председатель правления ПФР в интервью газете «Коммерсантъ» рассказал об особенностях идущей кампании по переводу пенсионных накоплений</w:t>
      </w:r>
      <w:r w:rsidR="002068A9">
        <w:rPr>
          <w:rFonts w:ascii="Times New Roman" w:eastAsia="Times New Roman" w:hAnsi="Times New Roman" w:cs="Times New Roman"/>
          <w:sz w:val="24"/>
          <w:szCs w:val="24"/>
          <w:lang w:eastAsia="ru-RU"/>
        </w:rPr>
        <w:t>:</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Каковы промежуточные результаты кампании по переводу пенсионных накоплений этого года?</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На 1 июля подано 81,6 тыс. заявлений на смену страховщика. Это почти в семь раз меньше, чем было подано за тот же период прошлого года, – 530 тыс. заявлений. При этом 90% от этих заявлений было подано в электронном виде через Единый портал </w:t>
      </w:r>
      <w:proofErr w:type="spellStart"/>
      <w:r w:rsidRPr="00EB1B86">
        <w:rPr>
          <w:rFonts w:ascii="Times New Roman" w:eastAsia="Times New Roman" w:hAnsi="Times New Roman" w:cs="Times New Roman"/>
          <w:sz w:val="24"/>
          <w:szCs w:val="24"/>
          <w:lang w:eastAsia="ru-RU"/>
        </w:rPr>
        <w:t>госуслуг</w:t>
      </w:r>
      <w:proofErr w:type="spellEnd"/>
      <w:r w:rsidRPr="00EB1B86">
        <w:rPr>
          <w:rFonts w:ascii="Times New Roman" w:eastAsia="Times New Roman" w:hAnsi="Times New Roman" w:cs="Times New Roman"/>
          <w:sz w:val="24"/>
          <w:szCs w:val="24"/>
          <w:lang w:eastAsia="ru-RU"/>
        </w:rPr>
        <w:t xml:space="preserve"> (ЕПГУ), один из способов подачи, сохранившихся после вступления в силу с 1 января 2019 года федерального закона, известного как «закон Журавлева». Человек также может лично прийти в клиентскую службу </w:t>
      </w:r>
      <w:r w:rsidR="002068A9">
        <w:rPr>
          <w:rFonts w:ascii="Times New Roman" w:eastAsia="Times New Roman" w:hAnsi="Times New Roman" w:cs="Times New Roman"/>
          <w:sz w:val="24"/>
          <w:szCs w:val="24"/>
          <w:lang w:eastAsia="ru-RU"/>
        </w:rPr>
        <w:t xml:space="preserve">территориального управления </w:t>
      </w:r>
      <w:r w:rsidRPr="00EB1B86">
        <w:rPr>
          <w:rFonts w:ascii="Times New Roman" w:eastAsia="Times New Roman" w:hAnsi="Times New Roman" w:cs="Times New Roman"/>
          <w:sz w:val="24"/>
          <w:szCs w:val="24"/>
          <w:lang w:eastAsia="ru-RU"/>
        </w:rPr>
        <w:t>ПФР и подать заявление, или же в клиентскую службу может прийти его представитель с нотариальной доверенностью. Все. С этого года никаких отправок по почте, никаких заявлений курьером ПФР больше не принимает.</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Сколько человек подали заявления лично, а сколько через представителя?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Из почти 82 тыс. заявлений около 8 тыс. штук подано в письменной форме, и всего десять заявлений из них – по доверенности. То есть мы видим, что граждане в основном подают лично, а не через посредников. Таким образом, закон реально ограничил участие посредников в этом процессе.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Как распределялись поданные заявления?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Около 38% подано заявлений на переход из ПФР в НПФ, и остальные 62% – на переходы между частными фондами. По-прежнему 98% заявлений подано на досрочный переход.</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Вы считаете, что это действия агентов или самостоятельные решения граждан на подачу досрочных заявлений?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Сервис (подачи заявлений через ЕПГУ – прим.) работает в штатном режиме. При этом за первое полугодие мы приняли 2,15 </w:t>
      </w:r>
      <w:proofErr w:type="gramStart"/>
      <w:r w:rsidRPr="00EB1B86">
        <w:rPr>
          <w:rFonts w:ascii="Times New Roman" w:eastAsia="Times New Roman" w:hAnsi="Times New Roman" w:cs="Times New Roman"/>
          <w:sz w:val="24"/>
          <w:szCs w:val="24"/>
          <w:lang w:eastAsia="ru-RU"/>
        </w:rPr>
        <w:t>млн</w:t>
      </w:r>
      <w:proofErr w:type="gramEnd"/>
      <w:r w:rsidRPr="00EB1B86">
        <w:rPr>
          <w:rFonts w:ascii="Times New Roman" w:eastAsia="Times New Roman" w:hAnsi="Times New Roman" w:cs="Times New Roman"/>
          <w:sz w:val="24"/>
          <w:szCs w:val="24"/>
          <w:lang w:eastAsia="ru-RU"/>
        </w:rPr>
        <w:t xml:space="preserve"> запросов на информирование о сумме потерь (инвестиционного дохода – прим.), а заявлений на перевод было подано всего 81,6 тыс. штук. То есть, видимо, это те люди, которые, несмотря ни на что (после ознакомления с суммой теряемых ими денег – прим.), приняли решение о досрочном переходе.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Такая огромная разница в поданных заявлениях и запросах на потерю </w:t>
      </w:r>
      <w:proofErr w:type="spellStart"/>
      <w:r w:rsidRPr="00EB1B86">
        <w:rPr>
          <w:rFonts w:ascii="Times New Roman" w:eastAsia="Times New Roman" w:hAnsi="Times New Roman" w:cs="Times New Roman"/>
          <w:sz w:val="24"/>
          <w:szCs w:val="24"/>
          <w:lang w:eastAsia="ru-RU"/>
        </w:rPr>
        <w:t>инвестдохода</w:t>
      </w:r>
      <w:proofErr w:type="spellEnd"/>
      <w:r w:rsidRPr="00EB1B86">
        <w:rPr>
          <w:rFonts w:ascii="Times New Roman" w:eastAsia="Times New Roman" w:hAnsi="Times New Roman" w:cs="Times New Roman"/>
          <w:sz w:val="24"/>
          <w:szCs w:val="24"/>
          <w:lang w:eastAsia="ru-RU"/>
        </w:rPr>
        <w:t xml:space="preserve"> означает, что все-таки большинство запросов формируется ботами агентов?</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Возможно, эти запросы действительно могли формироваться и ботами агентов, </w:t>
      </w:r>
      <w:proofErr w:type="gramStart"/>
      <w:r w:rsidRPr="00EB1B86">
        <w:rPr>
          <w:rFonts w:ascii="Times New Roman" w:eastAsia="Times New Roman" w:hAnsi="Times New Roman" w:cs="Times New Roman"/>
          <w:sz w:val="24"/>
          <w:szCs w:val="24"/>
          <w:lang w:eastAsia="ru-RU"/>
        </w:rPr>
        <w:t>но</w:t>
      </w:r>
      <w:proofErr w:type="gramEnd"/>
      <w:r w:rsidRPr="00EB1B86">
        <w:rPr>
          <w:rFonts w:ascii="Times New Roman" w:eastAsia="Times New Roman" w:hAnsi="Times New Roman" w:cs="Times New Roman"/>
          <w:sz w:val="24"/>
          <w:szCs w:val="24"/>
          <w:lang w:eastAsia="ru-RU"/>
        </w:rPr>
        <w:t xml:space="preserve"> тем не менее ПФР проводит активный мониторинг, исключающий массовую отправку заявлений с одного IP-адреса. Все это делается под контролем ЦБ и «Ростелекома». На стадии заявлений действия ботов мы отсекаем.</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Да, у нас снизилось количество заявлений, но их структура пока остается прежней. Это все говорит о том, что нужно дальше работать с гражданами, предупреждать их о потенциальных потерях при досрочной смене страховщика, разъяснить, что в этом случае </w:t>
      </w:r>
      <w:r w:rsidRPr="00EB1B86">
        <w:rPr>
          <w:rFonts w:ascii="Times New Roman" w:eastAsia="Times New Roman" w:hAnsi="Times New Roman" w:cs="Times New Roman"/>
          <w:sz w:val="24"/>
          <w:szCs w:val="24"/>
          <w:lang w:eastAsia="ru-RU"/>
        </w:rPr>
        <w:lastRenderedPageBreak/>
        <w:t>накопленный ими инвестиционный доход идет в резерв по ОПС (РОПС – прим.) к нам или в НПФ, который покидает клиент. Мы считаем, что это задача не только Пенсионного фонда, но и НПФ, которые в соответствии с законодательством являются равноправными страховщиками по обязательному пенсионному страхованию.</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Какие конкретные шаги сделаны для этого?</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У нас по этому вопросу было совещание в ЦБ: пригласили все НПФ, которым было предложено взять на себя дополнительные функции по информированию граждан о том, что, в случае подачи досрочного заявления до истечения пятилетнего периода, у застрахованных лиц идет потеря инвестиционного дохода. Это правильно и для рынка, поскольку имидж системы НПФ страдает из-за потерь граждан. Фонды это понимают, но менеджеры имеют соответствующие KPI по привлечению средств, и здесь есть определенное противоречие.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Мы, со своей стороны, договорились с ЦБ </w:t>
      </w:r>
      <w:proofErr w:type="spellStart"/>
      <w:r w:rsidRPr="00EB1B86">
        <w:rPr>
          <w:rFonts w:ascii="Times New Roman" w:eastAsia="Times New Roman" w:hAnsi="Times New Roman" w:cs="Times New Roman"/>
          <w:sz w:val="24"/>
          <w:szCs w:val="24"/>
          <w:lang w:eastAsia="ru-RU"/>
        </w:rPr>
        <w:t>мониторить</w:t>
      </w:r>
      <w:proofErr w:type="spellEnd"/>
      <w:r w:rsidRPr="00EB1B86">
        <w:rPr>
          <w:rFonts w:ascii="Times New Roman" w:eastAsia="Times New Roman" w:hAnsi="Times New Roman" w:cs="Times New Roman"/>
          <w:sz w:val="24"/>
          <w:szCs w:val="24"/>
          <w:lang w:eastAsia="ru-RU"/>
        </w:rPr>
        <w:t xml:space="preserve"> ежемесячно ситуацию. ПФР, в частности, в ежемесячном режиме отправляет данные по ходу переходной кампании и аналитику по ней в Банк России. Если ситуация не изменится, будут предлагаться дополнительные меры для того, чтобы ее изменить. Например, есть предложение отменить для НПФ возможность пользоваться услугами посредников при заключении новых договоров, есть предложение исключить норму о потере инвестиционного дохода при переходе раньше пяти лет и так далее. У нас есть на этот счет поручение президента о законодательном урегулировании этого вопроса при необходимости. Поэтому мы пока наблюдаем, но по результатам мониторинга к сентябрю будут подготовлены окончательные предложения.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В </w:t>
      </w:r>
      <w:proofErr w:type="gramStart"/>
      <w:r w:rsidRPr="00EB1B86">
        <w:rPr>
          <w:rFonts w:ascii="Times New Roman" w:eastAsia="Times New Roman" w:hAnsi="Times New Roman" w:cs="Times New Roman"/>
          <w:sz w:val="24"/>
          <w:szCs w:val="24"/>
          <w:lang w:eastAsia="ru-RU"/>
        </w:rPr>
        <w:t>связи</w:t>
      </w:r>
      <w:proofErr w:type="gramEnd"/>
      <w:r w:rsidRPr="00EB1B86">
        <w:rPr>
          <w:rFonts w:ascii="Times New Roman" w:eastAsia="Times New Roman" w:hAnsi="Times New Roman" w:cs="Times New Roman"/>
          <w:sz w:val="24"/>
          <w:szCs w:val="24"/>
          <w:lang w:eastAsia="ru-RU"/>
        </w:rPr>
        <w:t xml:space="preserve"> с чем такое внимание к проблемам переходных кампаний?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Ситуация во многом связана с результатами переходной кампании прошлого года. Однако, на наш взгляд, по сравнению с предшествующим годом она была менее агрессивной со стороны НПФ. Во-первых, количество заявлений, которое поступило в прошлом году в ПФР, было меньше 2 </w:t>
      </w:r>
      <w:proofErr w:type="gramStart"/>
      <w:r w:rsidRPr="00EB1B86">
        <w:rPr>
          <w:rFonts w:ascii="Times New Roman" w:eastAsia="Times New Roman" w:hAnsi="Times New Roman" w:cs="Times New Roman"/>
          <w:sz w:val="24"/>
          <w:szCs w:val="24"/>
          <w:lang w:eastAsia="ru-RU"/>
        </w:rPr>
        <w:t>млн</w:t>
      </w:r>
      <w:proofErr w:type="gramEnd"/>
      <w:r w:rsidRPr="00EB1B86">
        <w:rPr>
          <w:rFonts w:ascii="Times New Roman" w:eastAsia="Times New Roman" w:hAnsi="Times New Roman" w:cs="Times New Roman"/>
          <w:sz w:val="24"/>
          <w:szCs w:val="24"/>
          <w:lang w:eastAsia="ru-RU"/>
        </w:rPr>
        <w:t xml:space="preserve"> штук, тогда как в переходную кампанию 2017 года – 6,2 млн заявлений. Во-вторых, по результатам переходной кампании 2018 года количество жалоб, которое поступило к нам, также меньше: за первое полугодие этого года пришло 1,6 тыс. жалоб, а за аналогичный период прошлого года – 2 тыс. Но все равно кампания была не идеальной. Поэтому дополнительные меры, которые обеспечил вступивший в силу «закон Журавлева», были необходимы.</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 этому вопросу сохраняется внимание и Совбеза, и Генпрокуратуры. Идет отработка жалоб в целях защиты прав граждан. Однако здесь мы ограничены в своих инструментах, поскольку не являемся стороной договора. В качестве третьего лица мы можем принимать участие в судебных процессах, разъяснять гражданам их права, предоставлять документацию, а также информировать правоохранительные органы в случае, если есть очевидные признаки мошенничества. Сейчас мы вместе с Генпрокуратурой работаем над этими вопросами и обсуждаем, какие дополнительные меры принять, чтобы защитить права граждан. Как правило, в прошлом году нарушения были при подаче заявлений почтой или курьером.</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А ПФР видел эти нарушения?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lastRenderedPageBreak/>
        <w:t>В августе прошлого года мы провели проверку. По ее результатам мы внесли дополнительные ограничения для подачи почтой или курьером. На законных основаниях у нас появилось право отменить эти каналы подачи только с 1 января.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А был ли </w:t>
      </w:r>
      <w:proofErr w:type="gramStart"/>
      <w:r w:rsidRPr="00EB1B86">
        <w:rPr>
          <w:rFonts w:ascii="Times New Roman" w:eastAsia="Times New Roman" w:hAnsi="Times New Roman" w:cs="Times New Roman"/>
          <w:sz w:val="24"/>
          <w:szCs w:val="24"/>
          <w:lang w:eastAsia="ru-RU"/>
        </w:rPr>
        <w:t>контроль за</w:t>
      </w:r>
      <w:proofErr w:type="gramEnd"/>
      <w:r w:rsidRPr="00EB1B86">
        <w:rPr>
          <w:rFonts w:ascii="Times New Roman" w:eastAsia="Times New Roman" w:hAnsi="Times New Roman" w:cs="Times New Roman"/>
          <w:sz w:val="24"/>
          <w:szCs w:val="24"/>
          <w:lang w:eastAsia="ru-RU"/>
        </w:rPr>
        <w:t xml:space="preserve"> приемом заявлений?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Конечно, был. Но подавляющее большинство документов (получаемых ПФР – прим.) было оформлено полностью в соответствии с законом. В рамках дополнительного контроля мы запрашивали у отдельных регионов пакеты документов, все было оформлено корректно. Работник ПФР не может на глаз понять, фальшивые ли документы или нет.</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Вы сотрудничали с Нотариальной палатой?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 ходе проверок мы просто сопоставили количество нотариусов и количество заверенных удостоверений. И по результатам мы направили обращение в Нотариальную палату. Сотрудник ПФР не может оценить, подпись нотариуса правильная или нет, более того, у него нет полномочий для проверки.</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Но ведь только несколько нотариусов заверяют тысячи заявлений…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Вот когда мы это выявили, мы это и направили соответствующим органам. В целом мы постоянно ставим новые заборы, пытаясь ограничить работу недобросовестных агентов. В 2017 году мы убрали электронную подачу документов через УЦ (удостоверяющие центры – прим.), в прошлом году ограничили, а с 1 января этого года исключили подачу заявлений через курьеров или почту. Сейчас думаем над другими дополнительными мерами. По сути, мы сидим и отрубаем кошке хвост по частям. На самом деле все риски заложены в самой системе. Радикальным решением может быть введение системы индивидуального пенсионного капитала (ИПК), чтобы эта система была отдельно от нас.</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А Генпрокуратура придет в ПФР?</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Она уже приходила к нам. Проверялась полностью деятельность ПФР за 2017–2018-й и первую половину 2019 года. А сейчас проверка идет по территориям, по вопросам переходной кампании в НПФ и, соответственно, наших территориальных органах.</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По нашей информации, вы лоббируете вариант изменения подачи заявления – текущему страховщику…</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Нет, мы не лоббируем этот вариант. Этот вопрос был частью дискуссии до принятия «закона Журавлева». В настоящее время закон принят, и мы идем по этому пути.</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Насколько корректно, по вашей информации, работает подача заявлений через ЕПГУ?</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Как показало совещание с НПФ от 17 июля (ПФР ежемесячно собирает на своей площадке представителей всех НПФ), ЕПГУ работает стабильно. Понятно, что если в массовом порядке от кого-то идут заявления, мы это отсекаем. Те объемы, которые подаются с соблюдением ограничений, обрабатываются в штатном режиме.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Конечно, канал для подачи будет </w:t>
      </w:r>
      <w:proofErr w:type="gramStart"/>
      <w:r w:rsidRPr="00EB1B86">
        <w:rPr>
          <w:rFonts w:ascii="Times New Roman" w:eastAsia="Times New Roman" w:hAnsi="Times New Roman" w:cs="Times New Roman"/>
          <w:sz w:val="24"/>
          <w:szCs w:val="24"/>
          <w:lang w:eastAsia="ru-RU"/>
        </w:rPr>
        <w:t>развиваться</w:t>
      </w:r>
      <w:proofErr w:type="gramEnd"/>
      <w:r w:rsidRPr="00EB1B86">
        <w:rPr>
          <w:rFonts w:ascii="Times New Roman" w:eastAsia="Times New Roman" w:hAnsi="Times New Roman" w:cs="Times New Roman"/>
          <w:sz w:val="24"/>
          <w:szCs w:val="24"/>
          <w:lang w:eastAsia="ru-RU"/>
        </w:rPr>
        <w:t xml:space="preserve"> и совершенствоваться: мы уже провели работу над более удобным интерфейсом для подачи электронных заявлений и оптимизировали сроки обработки заявлений. Мы проводим онлайн-мониторинг доступности ресурса и контроль длительности обработки заявок, и если задержки в </w:t>
      </w:r>
      <w:r w:rsidRPr="00EB1B86">
        <w:rPr>
          <w:rFonts w:ascii="Times New Roman" w:eastAsia="Times New Roman" w:hAnsi="Times New Roman" w:cs="Times New Roman"/>
          <w:sz w:val="24"/>
          <w:szCs w:val="24"/>
          <w:lang w:eastAsia="ru-RU"/>
        </w:rPr>
        <w:lastRenderedPageBreak/>
        <w:t>прохождении превышают пороговые значения, оперативно решаем эти вопросы с «Ростелекомом» как оператором ЕПГУ.</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С вопросом потери </w:t>
      </w:r>
      <w:proofErr w:type="spellStart"/>
      <w:r w:rsidRPr="00EB1B86">
        <w:rPr>
          <w:rFonts w:ascii="Times New Roman" w:eastAsia="Times New Roman" w:hAnsi="Times New Roman" w:cs="Times New Roman"/>
          <w:sz w:val="24"/>
          <w:szCs w:val="24"/>
          <w:lang w:eastAsia="ru-RU"/>
        </w:rPr>
        <w:t>инвестдохода</w:t>
      </w:r>
      <w:proofErr w:type="spellEnd"/>
      <w:r w:rsidRPr="00EB1B86">
        <w:rPr>
          <w:rFonts w:ascii="Times New Roman" w:eastAsia="Times New Roman" w:hAnsi="Times New Roman" w:cs="Times New Roman"/>
          <w:sz w:val="24"/>
          <w:szCs w:val="24"/>
          <w:lang w:eastAsia="ru-RU"/>
        </w:rPr>
        <w:t xml:space="preserve"> связан вопрос и РОПС, который достиг достаточно большого размера в ПФР…</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 xml:space="preserve">Я могу раскрыть эту цифру – 149,8 </w:t>
      </w:r>
      <w:proofErr w:type="gramStart"/>
      <w:r w:rsidRPr="00EB1B86">
        <w:rPr>
          <w:rFonts w:ascii="Times New Roman" w:eastAsia="Times New Roman" w:hAnsi="Times New Roman" w:cs="Times New Roman"/>
          <w:sz w:val="24"/>
          <w:szCs w:val="24"/>
          <w:lang w:eastAsia="ru-RU"/>
        </w:rPr>
        <w:t>млрд</w:t>
      </w:r>
      <w:proofErr w:type="gramEnd"/>
      <w:r w:rsidRPr="00EB1B86">
        <w:rPr>
          <w:rFonts w:ascii="Times New Roman" w:eastAsia="Times New Roman" w:hAnsi="Times New Roman" w:cs="Times New Roman"/>
          <w:sz w:val="24"/>
          <w:szCs w:val="24"/>
          <w:lang w:eastAsia="ru-RU"/>
        </w:rPr>
        <w:t xml:space="preserve"> рублей на 1 июля. При этом стоимость чистых активов пенсионных накоплений в ПФР – 1,8 </w:t>
      </w:r>
      <w:proofErr w:type="gramStart"/>
      <w:r w:rsidRPr="00EB1B86">
        <w:rPr>
          <w:rFonts w:ascii="Times New Roman" w:eastAsia="Times New Roman" w:hAnsi="Times New Roman" w:cs="Times New Roman"/>
          <w:sz w:val="24"/>
          <w:szCs w:val="24"/>
          <w:lang w:eastAsia="ru-RU"/>
        </w:rPr>
        <w:t>трлн</w:t>
      </w:r>
      <w:proofErr w:type="gramEnd"/>
      <w:r w:rsidRPr="00EB1B86">
        <w:rPr>
          <w:rFonts w:ascii="Times New Roman" w:eastAsia="Times New Roman" w:hAnsi="Times New Roman" w:cs="Times New Roman"/>
          <w:sz w:val="24"/>
          <w:szCs w:val="24"/>
          <w:lang w:eastAsia="ru-RU"/>
        </w:rPr>
        <w:t xml:space="preserve"> рублей. По закону максимальное значение РОПС – это 10% стоимости чистых активов ПФР. Таким образом, пока он эту планку не превысил.</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Вы, наверное, достаточно регулярно сталкиваетесь с идеями поделить деньги, которые есть в ПФР…</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Действительно, возникают предложения как-то использовать РОПС, однако правовых оснований для этого пока не имеется и конкретных предложений в Пенсионный фонд пока не поступало. При этом непонятно – как делить, между кем делить. Если получим такие предложения, мы их рассмотрим.</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Пенсионный фонд, как и НПФ, является участником системы ОПС и несет все риски. Поэтому ПФР отчисляет средства в фонд гарантирования пенсионных накоплений и создает резервы.</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Но нужен ли госструктуре РОПС, который гарантирует средства по большей части «молчунов», в таком объеме?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Если выяснится, что в таком объеме не нужны, – встает вопрос, куда их направлять. Этот вопрос нужно решать вместе с Минфином. У ПФР много задач, которые нужно решать, при этом главная из них – рост пенсий при достаточной финансовой устойчивости. Мое мнение: лучше иметь резервы, чем их не иметь.</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В каком состоянии находится вопрос об организационно-правовой форме ПФР?</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Любая организационно-правовая форма должна обеспечивать условия для исполнения тех функций, которые возложены на ПФР. Второй вопрос, что дополнительно она даст фонду для повышения эффективности его работы? Именно в этом ракурсе сейчас рассматриваются все эти вопросы. Пока идет обсуждение.</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До конца года оно завершится?</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Я думаю, что осенью дискуссия будет продолжаться, потому что вопросы, которые рассматриваются, достаточно серьезные и касаются интересов</w:t>
      </w:r>
      <w:r w:rsidR="002068A9">
        <w:rPr>
          <w:rFonts w:ascii="Times New Roman" w:eastAsia="Times New Roman" w:hAnsi="Times New Roman" w:cs="Times New Roman"/>
          <w:sz w:val="24"/>
          <w:szCs w:val="24"/>
          <w:lang w:eastAsia="ru-RU"/>
        </w:rPr>
        <w:t>,</w:t>
      </w:r>
      <w:r w:rsidRPr="00EB1B86">
        <w:rPr>
          <w:rFonts w:ascii="Times New Roman" w:eastAsia="Times New Roman" w:hAnsi="Times New Roman" w:cs="Times New Roman"/>
          <w:sz w:val="24"/>
          <w:szCs w:val="24"/>
          <w:lang w:eastAsia="ru-RU"/>
        </w:rPr>
        <w:t xml:space="preserve"> в том числе сторон социального партнерства (представителей работников и работодателей).</w:t>
      </w:r>
    </w:p>
    <w:p w:rsidR="00EB1B86" w:rsidRPr="00EB1B86" w:rsidRDefault="00EB1B86" w:rsidP="00EB1B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B1B86">
        <w:rPr>
          <w:rFonts w:ascii="Times New Roman" w:eastAsia="Times New Roman" w:hAnsi="Times New Roman" w:cs="Times New Roman"/>
          <w:sz w:val="24"/>
          <w:szCs w:val="24"/>
          <w:lang w:eastAsia="ru-RU"/>
        </w:rPr>
        <w:t>Источник</w:t>
      </w:r>
    </w:p>
    <w:p w:rsidR="004178AC" w:rsidRDefault="004178AC" w:rsidP="00EB1B86">
      <w:pPr>
        <w:jc w:val="both"/>
      </w:pPr>
    </w:p>
    <w:p w:rsidR="00EB1B86" w:rsidRDefault="00EB1B86" w:rsidP="00EB1B86">
      <w:pPr>
        <w:jc w:val="both"/>
      </w:pPr>
    </w:p>
    <w:p w:rsidR="00EB1B86" w:rsidRDefault="00EB1B86" w:rsidP="00EB1B86">
      <w:pPr>
        <w:jc w:val="both"/>
      </w:pPr>
    </w:p>
    <w:p w:rsidR="00EB1B86" w:rsidRDefault="00EB1B86" w:rsidP="00EB1B86">
      <w:pPr>
        <w:jc w:val="both"/>
      </w:pPr>
    </w:p>
    <w:p w:rsidR="00EB1B86" w:rsidRPr="00EB1B86" w:rsidRDefault="00EB1B86" w:rsidP="00EB1B86">
      <w:pPr>
        <w:pStyle w:val="a3"/>
        <w:jc w:val="both"/>
        <w:rPr>
          <w:b/>
        </w:rPr>
      </w:pPr>
      <w:r w:rsidRPr="00EB1B86">
        <w:rPr>
          <w:b/>
        </w:rPr>
        <w:lastRenderedPageBreak/>
        <w:t>С 1 августа 2019 года произведён перерасчёт размеров страховых пенсий пенсионерам, которые работали в 2018 году и на их лицевые счета поступали страховые взносы на страховую пенсию.</w:t>
      </w:r>
    </w:p>
    <w:p w:rsidR="00EB1B86" w:rsidRDefault="00EB1B86" w:rsidP="00EB1B86">
      <w:pPr>
        <w:pStyle w:val="a3"/>
        <w:jc w:val="both"/>
      </w:pPr>
      <w:r>
        <w:t>На территории Воронежской области такой перерасчёт осуществлён 170 947 получателям страховых пенсий. Федеральным законом «О страховых пенсиях» (часть 4 статьи 18 Федерального закона от 28.12.2013 № 400-ФЗ) установлено ограничение при перерасчёте страховой пенсии, максимальная сумма увеличения не должна превышать трёх пенсионных баллов.</w:t>
      </w:r>
    </w:p>
    <w:p w:rsidR="00EB1B86" w:rsidRDefault="00EB1B86" w:rsidP="00EB1B86">
      <w:pPr>
        <w:pStyle w:val="a3"/>
        <w:jc w:val="both"/>
      </w:pPr>
      <w:r>
        <w:t>Например, для работающих по настоящее время граждан максимальная сумма увеличения составит 214 рублей 23 копейки (3 * 71,41 – стоимость одного индивидуального пенсионного балла), для не работающих граждан – 261 рубль 72 копейки (3 * 87,24).</w:t>
      </w:r>
    </w:p>
    <w:p w:rsidR="00EB1B86" w:rsidRDefault="00EB1B86" w:rsidP="00EB1B86">
      <w:pPr>
        <w:pStyle w:val="a3"/>
        <w:jc w:val="both"/>
      </w:pPr>
      <w:r>
        <w:t>В августе текущего года все 170 947 пенсионеров получат пенсию в новом, увеличенном размере.</w:t>
      </w:r>
    </w:p>
    <w:p w:rsidR="00EB1B86" w:rsidRDefault="00EB1B86" w:rsidP="00EB1B86">
      <w:pPr>
        <w:pStyle w:val="a3"/>
        <w:jc w:val="both"/>
      </w:pPr>
      <w:proofErr w:type="gramStart"/>
      <w:r>
        <w:t>Кроме того, с 1 августа текущего года произведена корректировка размеров накопительной пенсии в соответствии со ст.8 Федерального закона от 28.12.2013 года № 424-ФЗ «О накопительной пенсии» и срочной пенсионной выплаты в соответствии с ч.4 ст.5  Федерального закона от 30.11.2011 года № 360-ФЗ «О порядке финансирования выплат за счёт средств пенсионных накоплений» с учётом поступивших средств после установления выплат или</w:t>
      </w:r>
      <w:proofErr w:type="gramEnd"/>
      <w:r>
        <w:t xml:space="preserve"> предыдущей корректировки и  по результатам инвестирования за 2018 год.</w:t>
      </w:r>
    </w:p>
    <w:p w:rsidR="00EB1B86" w:rsidRDefault="00EB1B86" w:rsidP="00EB1B86">
      <w:pPr>
        <w:pStyle w:val="a3"/>
        <w:jc w:val="both"/>
      </w:pPr>
      <w:r>
        <w:t>Корректировка накопительной пенсии произведена 837 получателям, средний размер выплат составил 706 рублей 48 копеек. Корректировка срочной пенсионной выплаты произведена 236 получателям, средний размер выплат после корректировки составил  1514 рублей 81 копейка.</w:t>
      </w:r>
    </w:p>
    <w:p w:rsidR="00EB1B86" w:rsidRDefault="00EB1B86" w:rsidP="00EB1B86">
      <w:pPr>
        <w:pStyle w:val="a3"/>
        <w:jc w:val="both"/>
      </w:pPr>
      <w:r>
        <w:t>В августе 2019 года 837 получателей накопительной пенсии и 236 получателей срочной пенсионной выплаты получат выплату с учётом суммы корректировки.</w:t>
      </w:r>
    </w:p>
    <w:p w:rsidR="00EB1B86" w:rsidRDefault="00EB1B86" w:rsidP="00EB1B86">
      <w:pPr>
        <w:pStyle w:val="a3"/>
        <w:jc w:val="both"/>
      </w:pPr>
      <w:r>
        <w:t>Также на август запланирована выплата доплат к единовременным выплатам средств пенсионных накоплений гражданам, которым в 2018 году они были осуществлены.</w:t>
      </w:r>
    </w:p>
    <w:p w:rsidR="00EB1B86" w:rsidRDefault="00EB1B86" w:rsidP="00EB1B86">
      <w:pPr>
        <w:pStyle w:val="a3"/>
        <w:jc w:val="both"/>
      </w:pPr>
      <w:r>
        <w:t>На территории Воронежской области такой перерасчёт произведен 3 865 получателям, средний размер доплат составил 1963 рубля 04 копейки.</w:t>
      </w:r>
    </w:p>
    <w:p w:rsidR="00EB1B86" w:rsidRDefault="00EB1B86" w:rsidP="00EB1B86">
      <w:pPr>
        <w:pStyle w:val="a3"/>
        <w:jc w:val="both"/>
      </w:pPr>
      <w:r>
        <w:t>Размер доплаты также зависит от суммы средств, поступивших на лицевой счёт гражданина после получения единовременной выплаты, и результата инвестирования (дохода).</w:t>
      </w:r>
    </w:p>
    <w:p w:rsidR="00EB1B86" w:rsidRDefault="00EB1B86" w:rsidP="00EB1B86">
      <w:pPr>
        <w:jc w:val="both"/>
      </w:pPr>
    </w:p>
    <w:p w:rsidR="00EB1B86" w:rsidRDefault="00EB1B86" w:rsidP="00EB1B86">
      <w:pPr>
        <w:jc w:val="both"/>
      </w:pPr>
    </w:p>
    <w:p w:rsidR="00EB1B86" w:rsidRDefault="00EB1B86" w:rsidP="00EB1B86">
      <w:pPr>
        <w:jc w:val="both"/>
      </w:pPr>
    </w:p>
    <w:p w:rsidR="00EB1B86" w:rsidRDefault="00EB1B86" w:rsidP="00EB1B86">
      <w:pPr>
        <w:jc w:val="both"/>
      </w:pPr>
    </w:p>
    <w:p w:rsidR="00EB1B86" w:rsidRDefault="00EB1B86" w:rsidP="00EB1B86">
      <w:pPr>
        <w:jc w:val="both"/>
      </w:pPr>
    </w:p>
    <w:p w:rsidR="00EB1B86" w:rsidRPr="00EB1B86" w:rsidRDefault="00EB1B86" w:rsidP="00EB1B86">
      <w:pPr>
        <w:pStyle w:val="a3"/>
        <w:jc w:val="both"/>
        <w:rPr>
          <w:b/>
        </w:rPr>
      </w:pPr>
      <w:r w:rsidRPr="00EB1B86">
        <w:rPr>
          <w:b/>
        </w:rPr>
        <w:lastRenderedPageBreak/>
        <w:t>При досрочном назначении страховой пенсии в связи с педагогической деятельностью применяется  Список должностей и учреждений, утвержденный постановлением Правительства Российской Федерации от 29 октября 2002 года № 781.</w:t>
      </w:r>
    </w:p>
    <w:p w:rsidR="00EB1B86" w:rsidRDefault="00EB1B86" w:rsidP="00EB1B86">
      <w:pPr>
        <w:pStyle w:val="a3"/>
        <w:jc w:val="both"/>
      </w:pPr>
      <w:r>
        <w:t xml:space="preserve">Названным Списком не предусмотрена должность </w:t>
      </w:r>
      <w:proofErr w:type="spellStart"/>
      <w:r>
        <w:t>культорганизатора</w:t>
      </w:r>
      <w:proofErr w:type="spellEnd"/>
      <w:r>
        <w:t>.</w:t>
      </w:r>
    </w:p>
    <w:p w:rsidR="00EB1B86" w:rsidRDefault="00EB1B86" w:rsidP="00EB1B86">
      <w:pPr>
        <w:pStyle w:val="a3"/>
        <w:jc w:val="both"/>
      </w:pPr>
      <w:r>
        <w:t>Вместе с тем, стаж, дающий право на досрочное назначение страховой пенсии может определяться в соответствии с нормативными правовыми актами, действовавшими в период выполнения работ.</w:t>
      </w:r>
    </w:p>
    <w:p w:rsidR="00EB1B86" w:rsidRDefault="00EB1B86" w:rsidP="00EB1B86">
      <w:pPr>
        <w:pStyle w:val="a3"/>
        <w:jc w:val="both"/>
      </w:pPr>
      <w:r>
        <w:t>К периодам работы до 01.10.1993 года может применяться Перечень учреждений, организаций и должностей, работа в которых дает право на пенсию за выслугу лет, и Положение о порядке исчисления стажа для назначения пенсии за выслугу лет работникам просвещения и здравоохранения, утвержденные постановлением Совета Министров СССР от 17 декабря 1959 года № 1397.</w:t>
      </w:r>
    </w:p>
    <w:p w:rsidR="00EB1B86" w:rsidRDefault="00EB1B86" w:rsidP="00EB1B86">
      <w:pPr>
        <w:pStyle w:val="a3"/>
        <w:jc w:val="both"/>
      </w:pPr>
      <w:r>
        <w:t>В соответствии с Положением № 1397 в стаж работы учителей и других работников просвещения засчитывается работа по специальности во внешкольных детских учреждениях при определенных условиях.</w:t>
      </w:r>
    </w:p>
    <w:p w:rsidR="00EB1B86" w:rsidRDefault="00EB1B86" w:rsidP="00EB1B86">
      <w:pPr>
        <w:pStyle w:val="a3"/>
        <w:jc w:val="both"/>
      </w:pPr>
      <w:proofErr w:type="gramStart"/>
      <w:r>
        <w:t xml:space="preserve">В связи с этим, работа в должности </w:t>
      </w:r>
      <w:proofErr w:type="spellStart"/>
      <w:r>
        <w:t>культорганизатора</w:t>
      </w:r>
      <w:proofErr w:type="spellEnd"/>
      <w:r>
        <w:t xml:space="preserve"> в Доме пионеров за периоды до 1 октября 1993 года может быть включена в стаж, дающий право на досрочное назначение страховой пенсии, как работа по специальности, если до указанной даты имела место работа, предусмотренная Перечнем № 1397, и при условии что продолжительность стажа в учреждениях, организациях и должностях, работа в которых дает право</w:t>
      </w:r>
      <w:proofErr w:type="gramEnd"/>
      <w:r>
        <w:t xml:space="preserve"> на такую пенсию, составляет не менее 16 лет и 8 месяцев на день выхода на пенсию.</w:t>
      </w:r>
    </w:p>
    <w:p w:rsidR="00EB1B86" w:rsidRDefault="00EB1B86"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2068A9" w:rsidRDefault="002068A9" w:rsidP="00EB1B86">
      <w:pPr>
        <w:pStyle w:val="a3"/>
      </w:pPr>
    </w:p>
    <w:p w:rsidR="00EB1B86" w:rsidRDefault="00EB1B86" w:rsidP="00EB1B86">
      <w:pPr>
        <w:pStyle w:val="a3"/>
      </w:pPr>
    </w:p>
    <w:p w:rsidR="00EB1B86" w:rsidRPr="00EB1B86" w:rsidRDefault="00EB1B86" w:rsidP="00EB1B86">
      <w:pPr>
        <w:pStyle w:val="a3"/>
        <w:jc w:val="both"/>
        <w:rPr>
          <w:b/>
        </w:rPr>
      </w:pPr>
      <w:r w:rsidRPr="00EB1B86">
        <w:rPr>
          <w:b/>
        </w:rPr>
        <w:lastRenderedPageBreak/>
        <w:t xml:space="preserve">Подтвердить статус </w:t>
      </w:r>
      <w:proofErr w:type="spellStart"/>
      <w:r w:rsidRPr="00EB1B86">
        <w:rPr>
          <w:b/>
        </w:rPr>
        <w:t>предпенсионера</w:t>
      </w:r>
      <w:proofErr w:type="spellEnd"/>
      <w:r w:rsidRPr="00EB1B86">
        <w:rPr>
          <w:b/>
        </w:rPr>
        <w:t xml:space="preserve"> можно в Личном кабинете на сайте ПФР</w:t>
      </w:r>
      <w:r w:rsidR="002068A9" w:rsidRPr="002068A9">
        <w:rPr>
          <w:b/>
        </w:rPr>
        <w:t>.</w:t>
      </w:r>
    </w:p>
    <w:p w:rsidR="00EB1B86" w:rsidRDefault="00EB1B86" w:rsidP="00EB1B86">
      <w:pPr>
        <w:pStyle w:val="a3"/>
        <w:jc w:val="both"/>
      </w:pPr>
      <w:r>
        <w:t xml:space="preserve">В Личном кабинете гражданина на сайте </w:t>
      </w:r>
      <w:hyperlink r:id="rId5" w:history="1">
        <w:r>
          <w:rPr>
            <w:rStyle w:val="a4"/>
          </w:rPr>
          <w:t>www.pfrf.ru</w:t>
        </w:r>
      </w:hyperlink>
      <w:r>
        <w:t xml:space="preserve"> можно заказать справку «Об отнесении гражданина к категории граждан </w:t>
      </w:r>
      <w:proofErr w:type="spellStart"/>
      <w:r>
        <w:t>предпенсионного</w:t>
      </w:r>
      <w:proofErr w:type="spellEnd"/>
      <w:r>
        <w:t xml:space="preserve"> возраста». Для этого необходимо войти в Личный кабинет при помощи пароля и логина от портала </w:t>
      </w:r>
      <w:proofErr w:type="spellStart"/>
      <w:r>
        <w:t>госуслуг</w:t>
      </w:r>
      <w:proofErr w:type="spellEnd"/>
      <w:r>
        <w:t xml:space="preserve">, выбрать в разделе «Пенсии» вкладку «Заказать справку (выписку): об отнесении гражданина к категории граждан </w:t>
      </w:r>
      <w:proofErr w:type="spellStart"/>
      <w:r>
        <w:t>предпенсионного</w:t>
      </w:r>
      <w:proofErr w:type="spellEnd"/>
      <w:r>
        <w:t xml:space="preserve"> возраста», после чего указать орган, куда предоставляются сведения: Федеральная налоговая служба, орган государственной власти РФ в области содействия занятости населения, работодатель. При желании сформированную справку можно получить на электронную почту, сохранить, распечатать, а также просмотреть в разделе «История обращений». Документ формируется автоматически на основании данных ПФР, в том числе сведений (индивидуального) персонифицированного учета, и подтверждается усиленной квалифицированной электронной подписью.</w:t>
      </w:r>
    </w:p>
    <w:p w:rsidR="00EB1B86" w:rsidRDefault="00EB1B86" w:rsidP="00EB1B86">
      <w:pPr>
        <w:pStyle w:val="a3"/>
        <w:jc w:val="both"/>
      </w:pPr>
      <w:r>
        <w:t xml:space="preserve">Напомним, что с 2019 года появилась новая категория граждан – лица </w:t>
      </w:r>
      <w:proofErr w:type="spellStart"/>
      <w:r>
        <w:t>предпенсионного</w:t>
      </w:r>
      <w:proofErr w:type="spellEnd"/>
      <w:r>
        <w:t xml:space="preserve"> возраста, для которых предусмотрены определенные льготы и гарантии. </w:t>
      </w:r>
      <w:proofErr w:type="gramStart"/>
      <w:r>
        <w:t>Например, бесплатные лекарства и проезд на транспорте, скидка на оплату капремонта и других жилищно-коммунальных услуг, освобождение от имущественного и земельного налогов.</w:t>
      </w:r>
      <w:proofErr w:type="gramEnd"/>
      <w:r>
        <w:t xml:space="preserve"> Помимо этого, с 2019 года вводятся новые льготы, связанные с ежегодной диспансеризацией, а также дополнительные гарантии трудовой занятости для людей </w:t>
      </w:r>
      <w:proofErr w:type="spellStart"/>
      <w:r>
        <w:t>предпенсионного</w:t>
      </w:r>
      <w:proofErr w:type="spellEnd"/>
      <w:r>
        <w:t xml:space="preserve"> возраста.</w:t>
      </w:r>
    </w:p>
    <w:p w:rsidR="00EB1B86" w:rsidRDefault="00EB1B86" w:rsidP="00EB1B86">
      <w:pPr>
        <w:pStyle w:val="a3"/>
        <w:jc w:val="both"/>
      </w:pPr>
    </w:p>
    <w:p w:rsidR="00EB1B86" w:rsidRDefault="00EB1B86" w:rsidP="00EB1B86">
      <w:pPr>
        <w:pStyle w:val="a3"/>
        <w:jc w:val="both"/>
      </w:pPr>
    </w:p>
    <w:p w:rsidR="00EB1B86" w:rsidRDefault="00EB1B86"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2068A9" w:rsidRDefault="002068A9" w:rsidP="00EB1B86">
      <w:pPr>
        <w:pStyle w:val="a3"/>
        <w:jc w:val="both"/>
      </w:pPr>
    </w:p>
    <w:p w:rsidR="00EB1B86" w:rsidRPr="00EB1B86" w:rsidRDefault="00EB1B86" w:rsidP="00EB1B86">
      <w:pPr>
        <w:pStyle w:val="a3"/>
        <w:jc w:val="both"/>
        <w:rPr>
          <w:b/>
        </w:rPr>
      </w:pPr>
      <w:r w:rsidRPr="00EB1B86">
        <w:rPr>
          <w:b/>
        </w:rPr>
        <w:lastRenderedPageBreak/>
        <w:t>О выплате средств пенсионных накоплений правопреемникам умерших застрахованных лиц</w:t>
      </w:r>
    </w:p>
    <w:p w:rsidR="00EB1B86" w:rsidRDefault="002068A9" w:rsidP="00EB1B86">
      <w:pPr>
        <w:pStyle w:val="a3"/>
        <w:jc w:val="both"/>
      </w:pPr>
      <w:r>
        <w:t xml:space="preserve">Уважаемые жители </w:t>
      </w:r>
      <w:r w:rsidR="00EB1B86">
        <w:t xml:space="preserve"> Воронежской области!</w:t>
      </w:r>
    </w:p>
    <w:p w:rsidR="00EB1B86" w:rsidRDefault="00EB1B86" w:rsidP="00EB1B86">
      <w:pPr>
        <w:pStyle w:val="a3"/>
        <w:jc w:val="both"/>
      </w:pPr>
      <w:r>
        <w:t>Государственное учреждение – Отделение Пенсионного фонда РФ по Воронежской области сообщает, что в случае смерти Вашего близкого родственника (супруга, родителей, детей, сестер, братьев, бабушек, дедушек и внуков) до назначения ему накопительной пенсии,  Вы можете обратиться в любой территориальный орган ПФР с заявлением о выплате средств пенсионных накоплений правопреемникам умершего застрахованного лица.</w:t>
      </w:r>
    </w:p>
    <w:p w:rsidR="00EB1B86" w:rsidRDefault="00EB1B86" w:rsidP="00EB1B86">
      <w:pPr>
        <w:pStyle w:val="a3"/>
        <w:jc w:val="both"/>
      </w:pPr>
      <w:r>
        <w:t>Законодательством установлен срок для обращения правопреемников за выплатой средств пенсионных накоплений – 6 месяцев со дня смерти застрахованного лица. Если по какой-либо причине Вы пропустили указанный срок обращения за выплатой, то он может быть восстановлен в судебном порядке.</w:t>
      </w:r>
    </w:p>
    <w:p w:rsidR="00EB1B86" w:rsidRDefault="00EB1B86" w:rsidP="00EB1B86">
      <w:pPr>
        <w:pStyle w:val="a3"/>
        <w:jc w:val="both"/>
      </w:pPr>
      <w:r>
        <w:t>Правительством Российской Федерации на Пенсионный фонд РФ возложены функции по осуществлению выплаты средств пенсионных накоплений правопреемникам умерших застрахованных лиц в полном объеме, безвозмездно, без каких-либо удержаний и комиссий. Пенсионный фонд РФ бесплатно консультирует граждан по всем вопросам, связанным с выплатой пенсионных накоплений правопреемникам, а также оказывает любую правовую помощь в случае обращения правопреемников в судебные органы для восстановления срока обращения за выплатой средств пенсионных накоплений умерших граждан.</w:t>
      </w:r>
    </w:p>
    <w:p w:rsidR="00EB1B86" w:rsidRDefault="00EB1B86" w:rsidP="00EB1B86">
      <w:pPr>
        <w:pStyle w:val="a3"/>
        <w:jc w:val="both"/>
      </w:pPr>
      <w:r>
        <w:t>По вопросам, связанным с подачей правопреемниками заявлений о выплате средств пенсионных накоплений, можно обратиться в любой территориальный орган ПФР по Воронежской области или по телефонам CALL-центра: </w:t>
      </w:r>
    </w:p>
    <w:p w:rsidR="00EB1B86" w:rsidRDefault="00EB1B86" w:rsidP="00EB1B86">
      <w:pPr>
        <w:pStyle w:val="a3"/>
        <w:jc w:val="both"/>
      </w:pPr>
      <w:r>
        <w:t>8 (473) 269-77-93</w:t>
      </w:r>
    </w:p>
    <w:p w:rsidR="00EB1B86" w:rsidRDefault="00EB1B86" w:rsidP="00EB1B86">
      <w:pPr>
        <w:pStyle w:val="a3"/>
        <w:jc w:val="both"/>
      </w:pPr>
      <w:r>
        <w:t>8 (473) 269-77-94</w:t>
      </w:r>
    </w:p>
    <w:p w:rsidR="00EB1B86" w:rsidRDefault="00EB1B86" w:rsidP="00EB1B86">
      <w:pPr>
        <w:pStyle w:val="a3"/>
        <w:jc w:val="both"/>
      </w:pPr>
      <w:r>
        <w:t>8 (473) 269-77-95.</w:t>
      </w:r>
    </w:p>
    <w:p w:rsidR="00EB1B86" w:rsidRDefault="00EB1B86" w:rsidP="00EB1B86">
      <w:pPr>
        <w:pStyle w:val="a3"/>
        <w:jc w:val="both"/>
      </w:pPr>
      <w:r>
        <w:t>Дополнительно сообщаем, что если средства пенсионных накоплений застрахованного лица на день его смерти формировались в негосударственном пенсионном фонде, то обращаться правопреемникам следует в соответствующий негосударственный пенсионный фонд.</w:t>
      </w:r>
    </w:p>
    <w:p w:rsidR="002068A9" w:rsidRDefault="002068A9" w:rsidP="00EB1B86">
      <w:pPr>
        <w:pStyle w:val="a3"/>
        <w:jc w:val="both"/>
      </w:pPr>
      <w:r>
        <w:t xml:space="preserve">Телефон горячей линии </w:t>
      </w:r>
      <w:r w:rsidR="009A20FB">
        <w:t>в УПФР в Борисоглебском районе Воронежской области (межрайонное) 8(</w:t>
      </w:r>
      <w:bookmarkStart w:id="0" w:name="_GoBack"/>
      <w:bookmarkEnd w:id="0"/>
      <w:r w:rsidR="009A20FB">
        <w:t>47354) 63400</w:t>
      </w:r>
    </w:p>
    <w:p w:rsidR="00EB1B86" w:rsidRDefault="00EB1B86" w:rsidP="00EB1B86">
      <w:pPr>
        <w:jc w:val="both"/>
      </w:pPr>
    </w:p>
    <w:sectPr w:rsidR="00EB1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D4"/>
    <w:rsid w:val="002068A9"/>
    <w:rsid w:val="004178AC"/>
    <w:rsid w:val="007C09D4"/>
    <w:rsid w:val="009A20FB"/>
    <w:rsid w:val="00EB1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B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B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B1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3870">
      <w:bodyDiv w:val="1"/>
      <w:marLeft w:val="0"/>
      <w:marRight w:val="0"/>
      <w:marTop w:val="0"/>
      <w:marBottom w:val="0"/>
      <w:divBdr>
        <w:top w:val="none" w:sz="0" w:space="0" w:color="auto"/>
        <w:left w:val="none" w:sz="0" w:space="0" w:color="auto"/>
        <w:bottom w:val="none" w:sz="0" w:space="0" w:color="auto"/>
        <w:right w:val="none" w:sz="0" w:space="0" w:color="auto"/>
      </w:divBdr>
      <w:divsChild>
        <w:div w:id="788163672">
          <w:marLeft w:val="0"/>
          <w:marRight w:val="0"/>
          <w:marTop w:val="0"/>
          <w:marBottom w:val="0"/>
          <w:divBdr>
            <w:top w:val="none" w:sz="0" w:space="0" w:color="auto"/>
            <w:left w:val="none" w:sz="0" w:space="0" w:color="auto"/>
            <w:bottom w:val="none" w:sz="0" w:space="0" w:color="auto"/>
            <w:right w:val="none" w:sz="0" w:space="0" w:color="auto"/>
          </w:divBdr>
        </w:div>
      </w:divsChild>
    </w:div>
    <w:div w:id="264312497">
      <w:bodyDiv w:val="1"/>
      <w:marLeft w:val="0"/>
      <w:marRight w:val="0"/>
      <w:marTop w:val="0"/>
      <w:marBottom w:val="0"/>
      <w:divBdr>
        <w:top w:val="none" w:sz="0" w:space="0" w:color="auto"/>
        <w:left w:val="none" w:sz="0" w:space="0" w:color="auto"/>
        <w:bottom w:val="none" w:sz="0" w:space="0" w:color="auto"/>
        <w:right w:val="none" w:sz="0" w:space="0" w:color="auto"/>
      </w:divBdr>
      <w:divsChild>
        <w:div w:id="974061742">
          <w:marLeft w:val="0"/>
          <w:marRight w:val="0"/>
          <w:marTop w:val="0"/>
          <w:marBottom w:val="0"/>
          <w:divBdr>
            <w:top w:val="none" w:sz="0" w:space="0" w:color="auto"/>
            <w:left w:val="none" w:sz="0" w:space="0" w:color="auto"/>
            <w:bottom w:val="none" w:sz="0" w:space="0" w:color="auto"/>
            <w:right w:val="none" w:sz="0" w:space="0" w:color="auto"/>
          </w:divBdr>
        </w:div>
      </w:divsChild>
    </w:div>
    <w:div w:id="404256138">
      <w:bodyDiv w:val="1"/>
      <w:marLeft w:val="0"/>
      <w:marRight w:val="0"/>
      <w:marTop w:val="0"/>
      <w:marBottom w:val="0"/>
      <w:divBdr>
        <w:top w:val="none" w:sz="0" w:space="0" w:color="auto"/>
        <w:left w:val="none" w:sz="0" w:space="0" w:color="auto"/>
        <w:bottom w:val="none" w:sz="0" w:space="0" w:color="auto"/>
        <w:right w:val="none" w:sz="0" w:space="0" w:color="auto"/>
      </w:divBdr>
      <w:divsChild>
        <w:div w:id="557128129">
          <w:marLeft w:val="0"/>
          <w:marRight w:val="0"/>
          <w:marTop w:val="0"/>
          <w:marBottom w:val="0"/>
          <w:divBdr>
            <w:top w:val="none" w:sz="0" w:space="0" w:color="auto"/>
            <w:left w:val="none" w:sz="0" w:space="0" w:color="auto"/>
            <w:bottom w:val="none" w:sz="0" w:space="0" w:color="auto"/>
            <w:right w:val="none" w:sz="0" w:space="0" w:color="auto"/>
          </w:divBdr>
        </w:div>
      </w:divsChild>
    </w:div>
    <w:div w:id="625622988">
      <w:bodyDiv w:val="1"/>
      <w:marLeft w:val="0"/>
      <w:marRight w:val="0"/>
      <w:marTop w:val="0"/>
      <w:marBottom w:val="0"/>
      <w:divBdr>
        <w:top w:val="none" w:sz="0" w:space="0" w:color="auto"/>
        <w:left w:val="none" w:sz="0" w:space="0" w:color="auto"/>
        <w:bottom w:val="none" w:sz="0" w:space="0" w:color="auto"/>
        <w:right w:val="none" w:sz="0" w:space="0" w:color="auto"/>
      </w:divBdr>
      <w:divsChild>
        <w:div w:id="241648914">
          <w:marLeft w:val="0"/>
          <w:marRight w:val="0"/>
          <w:marTop w:val="0"/>
          <w:marBottom w:val="0"/>
          <w:divBdr>
            <w:top w:val="none" w:sz="0" w:space="0" w:color="auto"/>
            <w:left w:val="none" w:sz="0" w:space="0" w:color="auto"/>
            <w:bottom w:val="none" w:sz="0" w:space="0" w:color="auto"/>
            <w:right w:val="none" w:sz="0" w:space="0" w:color="auto"/>
          </w:divBdr>
          <w:divsChild>
            <w:div w:id="131799837">
              <w:marLeft w:val="0"/>
              <w:marRight w:val="0"/>
              <w:marTop w:val="0"/>
              <w:marBottom w:val="0"/>
              <w:divBdr>
                <w:top w:val="none" w:sz="0" w:space="0" w:color="auto"/>
                <w:left w:val="none" w:sz="0" w:space="0" w:color="auto"/>
                <w:bottom w:val="none" w:sz="0" w:space="0" w:color="auto"/>
                <w:right w:val="none" w:sz="0" w:space="0" w:color="auto"/>
              </w:divBdr>
            </w:div>
            <w:div w:id="1084687210">
              <w:marLeft w:val="0"/>
              <w:marRight w:val="0"/>
              <w:marTop w:val="0"/>
              <w:marBottom w:val="0"/>
              <w:divBdr>
                <w:top w:val="none" w:sz="0" w:space="0" w:color="auto"/>
                <w:left w:val="none" w:sz="0" w:space="0" w:color="auto"/>
                <w:bottom w:val="none" w:sz="0" w:space="0" w:color="auto"/>
                <w:right w:val="none" w:sz="0" w:space="0" w:color="auto"/>
              </w:divBdr>
            </w:div>
          </w:divsChild>
        </w:div>
        <w:div w:id="345788849">
          <w:marLeft w:val="0"/>
          <w:marRight w:val="0"/>
          <w:marTop w:val="0"/>
          <w:marBottom w:val="0"/>
          <w:divBdr>
            <w:top w:val="none" w:sz="0" w:space="0" w:color="auto"/>
            <w:left w:val="none" w:sz="0" w:space="0" w:color="auto"/>
            <w:bottom w:val="none" w:sz="0" w:space="0" w:color="auto"/>
            <w:right w:val="none" w:sz="0" w:space="0" w:color="auto"/>
          </w:divBdr>
          <w:divsChild>
            <w:div w:id="17540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99537">
      <w:bodyDiv w:val="1"/>
      <w:marLeft w:val="0"/>
      <w:marRight w:val="0"/>
      <w:marTop w:val="0"/>
      <w:marBottom w:val="0"/>
      <w:divBdr>
        <w:top w:val="none" w:sz="0" w:space="0" w:color="auto"/>
        <w:left w:val="none" w:sz="0" w:space="0" w:color="auto"/>
        <w:bottom w:val="none" w:sz="0" w:space="0" w:color="auto"/>
        <w:right w:val="none" w:sz="0" w:space="0" w:color="auto"/>
      </w:divBdr>
      <w:divsChild>
        <w:div w:id="168304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2674</Words>
  <Characters>15246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2019-08-14T05:42:00Z</dcterms:created>
  <dcterms:modified xsi:type="dcterms:W3CDTF">2019-08-14T06:05:00Z</dcterms:modified>
</cp:coreProperties>
</file>