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EB" w:rsidRPr="00C50AEB" w:rsidRDefault="00C50AEB" w:rsidP="00C50AEB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ЗА ОКТЯБРЬ 2019 ГОДА ЗАКЛЮЧЕНО БОЛЬШЕ ДДУ СО СЧЕТАМИ-ЭСКРОУ ЧЕМ ЗА ВЕСЬ 2018 ГОД</w:t>
      </w:r>
    </w:p>
    <w:p w:rsidR="00C50AEB" w:rsidRPr="00C50AEB" w:rsidRDefault="00C50AEB" w:rsidP="00C50A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AEB" w:rsidRPr="00C50AEB" w:rsidRDefault="00C50AEB" w:rsidP="00C50A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В октябре 2019 года в Управление Росреестра по Воронежской области поступил 961 договор долевого участия в строительстве, в том числе 204 договора с применением счетов-эскроу. За 2018 год со счетами эскроу было зарегистрировано 162 ДДУ, что составляет чуть более 1% от общего количества зарегистрированных дого</w:t>
      </w:r>
      <w:bookmarkStart w:id="0" w:name="_GoBack"/>
      <w:bookmarkEnd w:id="0"/>
      <w:r w:rsidRPr="00C50AEB">
        <w:rPr>
          <w:rFonts w:ascii="Times New Roman" w:hAnsi="Times New Roman" w:cs="Times New Roman"/>
          <w:sz w:val="28"/>
          <w:szCs w:val="28"/>
        </w:rPr>
        <w:t>воров за год (11929).</w:t>
      </w:r>
    </w:p>
    <w:p w:rsidR="00C50AEB" w:rsidRPr="00C50AEB" w:rsidRDefault="00C50AEB" w:rsidP="00C50A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долевого участия в строительстве Управления Росреестра по Воронежской области </w:t>
      </w:r>
      <w:proofErr w:type="spellStart"/>
      <w:r w:rsidRPr="00C50AEB">
        <w:rPr>
          <w:rFonts w:ascii="Times New Roman" w:hAnsi="Times New Roman" w:cs="Times New Roman"/>
          <w:sz w:val="28"/>
          <w:szCs w:val="28"/>
        </w:rPr>
        <w:t>Варсеник</w:t>
      </w:r>
      <w:proofErr w:type="spellEnd"/>
      <w:r w:rsidRPr="00C50AEB">
        <w:rPr>
          <w:rFonts w:ascii="Times New Roman" w:hAnsi="Times New Roman" w:cs="Times New Roman"/>
          <w:sz w:val="28"/>
          <w:szCs w:val="28"/>
        </w:rPr>
        <w:t xml:space="preserve"> Аракелян отметила, что: «Несмотря на введение системы проектного финансирования в строительстве новых жилых домов, в Воронежской области количество зарегистрированных договоров долевого участия, обеспеченных счетами-эскроу, остается невысоким. За 9 месяцев 2019 года было зарегистрировано 487 ДДУ со счетами-эскроу, что составляет 3% к общему количеству договоров за данный период (15846).</w:t>
      </w:r>
    </w:p>
    <w:p w:rsidR="005930BC" w:rsidRPr="00C50AEB" w:rsidRDefault="00C50AEB" w:rsidP="00C50A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Таким образом, подавляющее большинство ДДУ на сегодня обеспечиваются отчислениями в Фонд защиты прав граждан – участников долевого строительства. Вместе с тем, в ближайшем будущем показатель ДДУ со счетами-эскроу ожидаемо будет продолжать расти в связи с плановым переходом всех застройщиков на проектное финансирование».</w:t>
      </w:r>
    </w:p>
    <w:sectPr w:rsidR="005930BC" w:rsidRPr="00C5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EB"/>
    <w:rsid w:val="005930BC"/>
    <w:rsid w:val="00C5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2F83F-74DE-4FCB-B49A-20770014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2019-11-22T12:02:00Z</dcterms:created>
  <dcterms:modified xsi:type="dcterms:W3CDTF">2019-11-22T12:04:00Z</dcterms:modified>
</cp:coreProperties>
</file>